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77F7A" w14:textId="77777777" w:rsidR="00E8717E" w:rsidRDefault="00E8717E"/>
    <w:p w14:paraId="36BDCE57" w14:textId="77777777" w:rsidR="007B64DD" w:rsidRDefault="007B64DD"/>
    <w:p w14:paraId="2AA1B77F" w14:textId="77777777" w:rsidR="007B64DD" w:rsidRDefault="007B64DD"/>
    <w:p w14:paraId="19095F73" w14:textId="77777777" w:rsidR="007B64DD" w:rsidRDefault="007B64DD"/>
    <w:p w14:paraId="179F903A" w14:textId="77777777" w:rsidR="007B64DD" w:rsidRDefault="007B64DD"/>
    <w:p w14:paraId="5F6CC58E" w14:textId="77777777" w:rsidR="007B64DD" w:rsidRDefault="007B64DD"/>
    <w:p w14:paraId="6AE3B32C" w14:textId="77777777" w:rsidR="007B64DD" w:rsidRDefault="007B64DD"/>
    <w:p w14:paraId="3C5D8FFA" w14:textId="674E3BA7" w:rsidR="007B64DD" w:rsidRDefault="007B64DD"/>
    <w:p w14:paraId="3F536F5A" w14:textId="7EE3A8EE" w:rsidR="00652D4F" w:rsidRDefault="00652D4F"/>
    <w:p w14:paraId="7ED4BF79" w14:textId="42C27F77" w:rsidR="00652D4F" w:rsidRDefault="00652D4F"/>
    <w:p w14:paraId="3AA0D179" w14:textId="4690CF3F" w:rsidR="00652D4F" w:rsidRDefault="00652D4F"/>
    <w:p w14:paraId="3C6B77E2" w14:textId="77777777" w:rsidR="00652D4F" w:rsidRDefault="00652D4F"/>
    <w:p w14:paraId="6C69405C" w14:textId="77777777" w:rsidR="007B64DD" w:rsidRDefault="007B64DD"/>
    <w:p w14:paraId="1CD701C2" w14:textId="77777777" w:rsidR="007B64DD" w:rsidRDefault="007B64DD"/>
    <w:p w14:paraId="7F6B3E86" w14:textId="77777777" w:rsidR="007B64DD" w:rsidRDefault="007B64DD"/>
    <w:p w14:paraId="504A8CB8" w14:textId="31FF8478" w:rsidR="007B64DD" w:rsidRDefault="00A12BDF" w:rsidP="007B64DD">
      <w:pPr>
        <w:jc w:val="center"/>
      </w:pPr>
      <w:r>
        <w:rPr>
          <w:sz w:val="52"/>
        </w:rPr>
        <w:t>MGM Resorts</w:t>
      </w:r>
    </w:p>
    <w:p w14:paraId="760A450F" w14:textId="77777777" w:rsidR="007B64DD" w:rsidRDefault="007B64DD" w:rsidP="007B64DD">
      <w:pPr>
        <w:jc w:val="center"/>
      </w:pPr>
    </w:p>
    <w:p w14:paraId="65463099" w14:textId="072EB88D" w:rsidR="008646A8" w:rsidRDefault="008646A8" w:rsidP="007B64DD">
      <w:pPr>
        <w:jc w:val="center"/>
        <w:rPr>
          <w:sz w:val="28"/>
        </w:rPr>
      </w:pPr>
      <w:r>
        <w:rPr>
          <w:sz w:val="28"/>
        </w:rPr>
        <w:t>O</w:t>
      </w:r>
      <w:r w:rsidR="00652D4F">
        <w:rPr>
          <w:sz w:val="28"/>
        </w:rPr>
        <w:t xml:space="preserve">CI </w:t>
      </w:r>
      <w:r>
        <w:rPr>
          <w:sz w:val="28"/>
        </w:rPr>
        <w:t xml:space="preserve">Evaluation </w:t>
      </w:r>
      <w:r w:rsidR="00652D4F">
        <w:rPr>
          <w:sz w:val="28"/>
        </w:rPr>
        <w:t>Success Criteria</w:t>
      </w:r>
    </w:p>
    <w:p w14:paraId="7E0B4C6E" w14:textId="266AAB20" w:rsidR="008646A8" w:rsidRDefault="008646A8" w:rsidP="007B64DD">
      <w:pPr>
        <w:jc w:val="center"/>
        <w:rPr>
          <w:sz w:val="28"/>
        </w:rPr>
      </w:pPr>
    </w:p>
    <w:p w14:paraId="6533C36A" w14:textId="1595A717" w:rsidR="00652D4F" w:rsidRPr="00652D4F" w:rsidRDefault="00652D4F" w:rsidP="00652D4F">
      <w:pPr>
        <w:pStyle w:val="ListParagraph"/>
        <w:numPr>
          <w:ilvl w:val="0"/>
          <w:numId w:val="39"/>
        </w:numPr>
        <w:jc w:val="center"/>
        <w:rPr>
          <w:sz w:val="28"/>
        </w:rPr>
      </w:pPr>
    </w:p>
    <w:p w14:paraId="1C92A2F7" w14:textId="77777777" w:rsidR="008646A8" w:rsidRDefault="008646A8" w:rsidP="007B64DD">
      <w:pPr>
        <w:jc w:val="center"/>
        <w:rPr>
          <w:sz w:val="28"/>
        </w:rPr>
      </w:pPr>
    </w:p>
    <w:p w14:paraId="062F1DCB" w14:textId="26252B5D" w:rsidR="00BF446E" w:rsidRPr="00005861" w:rsidRDefault="00BF446E" w:rsidP="00BF446E">
      <w:pPr>
        <w:jc w:val="center"/>
      </w:pPr>
      <w:r w:rsidRPr="00005861">
        <w:rPr>
          <w:sz w:val="28"/>
        </w:rPr>
        <w:t>Shukie Ganguly</w:t>
      </w:r>
    </w:p>
    <w:p w14:paraId="5583B7C2" w14:textId="5896A42D" w:rsidR="003F2EEF" w:rsidRDefault="00BF446E" w:rsidP="00BF446E">
      <w:pPr>
        <w:jc w:val="center"/>
      </w:pPr>
      <w:r w:rsidRPr="00005861">
        <w:t xml:space="preserve">Oracle Enterprise </w:t>
      </w:r>
      <w:r>
        <w:t xml:space="preserve">Cloud </w:t>
      </w:r>
      <w:r w:rsidRPr="00005861">
        <w:t>Architect</w:t>
      </w:r>
    </w:p>
    <w:p w14:paraId="392D6BBD" w14:textId="2E946600" w:rsidR="003F2EEF" w:rsidRDefault="003F2EEF" w:rsidP="007B64DD">
      <w:pPr>
        <w:jc w:val="center"/>
      </w:pPr>
    </w:p>
    <w:p w14:paraId="0E19DBB4" w14:textId="110E49BB" w:rsidR="005E6811" w:rsidRDefault="005E6811" w:rsidP="007B64DD">
      <w:pPr>
        <w:jc w:val="center"/>
      </w:pPr>
    </w:p>
    <w:p w14:paraId="6C2F4D65" w14:textId="6DB8F9F3" w:rsidR="005E6811" w:rsidRDefault="005E6811" w:rsidP="007B64DD">
      <w:pPr>
        <w:jc w:val="center"/>
      </w:pPr>
    </w:p>
    <w:p w14:paraId="6C59CC98" w14:textId="4C0AE405" w:rsidR="005E6811" w:rsidRDefault="005E6811" w:rsidP="007B64DD">
      <w:pPr>
        <w:jc w:val="center"/>
      </w:pPr>
    </w:p>
    <w:p w14:paraId="58DA76F2" w14:textId="501207AB" w:rsidR="005E6811" w:rsidRDefault="005E6811" w:rsidP="007B64DD">
      <w:pPr>
        <w:jc w:val="center"/>
      </w:pPr>
    </w:p>
    <w:p w14:paraId="5EBCF839" w14:textId="128B7907" w:rsidR="005E6811" w:rsidRDefault="005E6811" w:rsidP="007B64DD">
      <w:pPr>
        <w:jc w:val="center"/>
      </w:pPr>
    </w:p>
    <w:p w14:paraId="0BAEBE9D" w14:textId="49D341EF" w:rsidR="005E6811" w:rsidRDefault="005E6811" w:rsidP="007B64DD">
      <w:pPr>
        <w:jc w:val="center"/>
      </w:pPr>
    </w:p>
    <w:p w14:paraId="489550CE" w14:textId="2349C6A7" w:rsidR="005E6811" w:rsidRDefault="005E6811" w:rsidP="007B64DD">
      <w:pPr>
        <w:jc w:val="center"/>
      </w:pPr>
    </w:p>
    <w:p w14:paraId="6056CA02" w14:textId="7C90AAA8" w:rsidR="005E6811" w:rsidRDefault="005E6811" w:rsidP="007B64DD">
      <w:pPr>
        <w:jc w:val="center"/>
      </w:pPr>
    </w:p>
    <w:p w14:paraId="54EFD981" w14:textId="1078080D" w:rsidR="005E6811" w:rsidRDefault="005E6811" w:rsidP="007B64DD">
      <w:pPr>
        <w:jc w:val="center"/>
      </w:pPr>
    </w:p>
    <w:p w14:paraId="67D99A8F" w14:textId="220B56DD" w:rsidR="005E6811" w:rsidRDefault="005E6811" w:rsidP="007B64DD">
      <w:pPr>
        <w:jc w:val="center"/>
      </w:pPr>
    </w:p>
    <w:p w14:paraId="281019E1" w14:textId="0CBD8C0E" w:rsidR="005E6811" w:rsidRDefault="005E6811" w:rsidP="007B64DD">
      <w:pPr>
        <w:jc w:val="center"/>
      </w:pPr>
    </w:p>
    <w:p w14:paraId="5EB2BB38" w14:textId="09C52DC9" w:rsidR="005E6811" w:rsidRDefault="005E6811" w:rsidP="007B64DD">
      <w:pPr>
        <w:jc w:val="center"/>
      </w:pPr>
    </w:p>
    <w:p w14:paraId="6C7A34B6" w14:textId="274508E7" w:rsidR="005E6811" w:rsidRDefault="005E6811" w:rsidP="007B64DD">
      <w:pPr>
        <w:jc w:val="center"/>
      </w:pPr>
    </w:p>
    <w:p w14:paraId="1E735738" w14:textId="49E5B5E4" w:rsidR="005E6811" w:rsidRDefault="005E6811" w:rsidP="007B64DD">
      <w:pPr>
        <w:jc w:val="center"/>
      </w:pPr>
    </w:p>
    <w:p w14:paraId="0C7FCEA9" w14:textId="1E27F347" w:rsidR="005E6811" w:rsidRDefault="005E6811" w:rsidP="007B64DD">
      <w:pPr>
        <w:jc w:val="center"/>
      </w:pPr>
    </w:p>
    <w:p w14:paraId="7DACA203" w14:textId="62D04845" w:rsidR="005E6811" w:rsidRDefault="005E6811" w:rsidP="007B64DD">
      <w:pPr>
        <w:jc w:val="center"/>
      </w:pPr>
    </w:p>
    <w:p w14:paraId="6B717095" w14:textId="79F8E515" w:rsidR="005E6811" w:rsidRDefault="005E6811" w:rsidP="007B64DD">
      <w:pPr>
        <w:jc w:val="center"/>
      </w:pPr>
    </w:p>
    <w:p w14:paraId="5C7958A1" w14:textId="3B5F4485" w:rsidR="005E6811" w:rsidRDefault="005E6811" w:rsidP="007B64DD">
      <w:pPr>
        <w:jc w:val="center"/>
      </w:pPr>
    </w:p>
    <w:p w14:paraId="2FC08E9D" w14:textId="584CDE18" w:rsidR="007B64DD" w:rsidRDefault="007E6697" w:rsidP="00A21608">
      <w:pPr>
        <w:pStyle w:val="Heading1"/>
        <w:numPr>
          <w:ilvl w:val="0"/>
          <w:numId w:val="3"/>
        </w:numPr>
      </w:pPr>
      <w:bookmarkStart w:id="0" w:name="_Toc504034845"/>
      <w:r>
        <w:lastRenderedPageBreak/>
        <w:t>Summary</w:t>
      </w:r>
      <w:bookmarkEnd w:id="0"/>
    </w:p>
    <w:p w14:paraId="60C5BA81" w14:textId="76BEB5B8" w:rsidR="00D06F58" w:rsidRDefault="00555AD8" w:rsidP="00555AD8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color w:val="484848"/>
          <w:sz w:val="22"/>
          <w:szCs w:val="22"/>
        </w:rPr>
      </w:pPr>
      <w:r>
        <w:rPr>
          <w:rFonts w:eastAsia="Times New Roman" w:cstheme="minorHAnsi"/>
          <w:color w:val="484848"/>
          <w:sz w:val="22"/>
          <w:szCs w:val="22"/>
        </w:rPr>
        <w:t xml:space="preserve">The </w:t>
      </w:r>
      <w:r w:rsidR="00047797">
        <w:rPr>
          <w:rFonts w:eastAsia="Times New Roman" w:cstheme="minorHAnsi"/>
          <w:color w:val="484848"/>
          <w:sz w:val="22"/>
          <w:szCs w:val="22"/>
        </w:rPr>
        <w:t xml:space="preserve">intent </w:t>
      </w:r>
      <w:r w:rsidR="008A1640">
        <w:rPr>
          <w:rFonts w:eastAsia="Times New Roman" w:cstheme="minorHAnsi"/>
          <w:color w:val="484848"/>
          <w:sz w:val="22"/>
          <w:szCs w:val="22"/>
        </w:rPr>
        <w:t xml:space="preserve">of the document </w:t>
      </w:r>
      <w:r w:rsidR="00047797">
        <w:rPr>
          <w:rFonts w:eastAsia="Times New Roman" w:cstheme="minorHAnsi"/>
          <w:color w:val="484848"/>
          <w:sz w:val="22"/>
          <w:szCs w:val="22"/>
        </w:rPr>
        <w:t>is to make a case and request access to OCI environment (UC</w:t>
      </w:r>
      <w:r>
        <w:rPr>
          <w:rFonts w:eastAsia="Times New Roman" w:cstheme="minorHAnsi"/>
          <w:color w:val="484848"/>
          <w:sz w:val="22"/>
          <w:szCs w:val="22"/>
        </w:rPr>
        <w:t>C</w:t>
      </w:r>
      <w:r w:rsidR="00047797">
        <w:rPr>
          <w:rFonts w:eastAsia="Times New Roman" w:cstheme="minorHAnsi"/>
          <w:color w:val="484848"/>
          <w:sz w:val="22"/>
          <w:szCs w:val="22"/>
        </w:rPr>
        <w:t xml:space="preserve"> Credits) towards MGM Resorts POC. Based on the success criteria (detailed below) the POC environment to be turned into Production environment for “Project MGM 2020”</w:t>
      </w:r>
      <w:r>
        <w:rPr>
          <w:rFonts w:eastAsia="Times New Roman" w:cstheme="minorHAnsi"/>
          <w:color w:val="484848"/>
          <w:sz w:val="22"/>
          <w:szCs w:val="22"/>
        </w:rPr>
        <w:t>.</w:t>
      </w:r>
      <w:r w:rsidR="00047797">
        <w:rPr>
          <w:rFonts w:eastAsia="Times New Roman" w:cstheme="minorHAnsi"/>
          <w:color w:val="484848"/>
          <w:sz w:val="22"/>
          <w:szCs w:val="22"/>
        </w:rPr>
        <w:t xml:space="preserve"> </w:t>
      </w:r>
    </w:p>
    <w:p w14:paraId="398A9F15" w14:textId="05B5A438" w:rsidR="00206459" w:rsidRDefault="00102C61" w:rsidP="00796AEB">
      <w:pPr>
        <w:pStyle w:val="Heading1"/>
        <w:numPr>
          <w:ilvl w:val="0"/>
          <w:numId w:val="3"/>
        </w:numPr>
      </w:pPr>
      <w:bookmarkStart w:id="1" w:name="_Toc504034846"/>
      <w:r>
        <w:t>Background</w:t>
      </w:r>
      <w:bookmarkEnd w:id="1"/>
    </w:p>
    <w:p w14:paraId="3C36E576" w14:textId="2D5D69A2" w:rsidR="00102C61" w:rsidRPr="007616DD" w:rsidRDefault="00102C61" w:rsidP="00102C61">
      <w:pPr>
        <w:pStyle w:val="Heading1"/>
        <w:jc w:val="both"/>
        <w:rPr>
          <w:rFonts w:ascii="Calibri" w:hAnsi="Calibri" w:cs="Calibri"/>
          <w:color w:val="auto"/>
          <w:sz w:val="22"/>
          <w:szCs w:val="22"/>
        </w:rPr>
      </w:pPr>
      <w:bookmarkStart w:id="2" w:name="_Toc503532219"/>
      <w:bookmarkStart w:id="3" w:name="_Toc504034831"/>
      <w:bookmarkStart w:id="4" w:name="_Toc504034847"/>
      <w:r w:rsidRPr="002A364A">
        <w:rPr>
          <w:rFonts w:asciiTheme="minorHAnsi" w:hAnsiTheme="minorHAnsi" w:cstheme="minorHAnsi"/>
          <w:color w:val="auto"/>
          <w:sz w:val="22"/>
        </w:rPr>
        <w:t xml:space="preserve">A Q2 deal worth approximately </w:t>
      </w:r>
      <w:r w:rsidRPr="002A364A">
        <w:rPr>
          <w:rFonts w:asciiTheme="minorHAnsi" w:hAnsiTheme="minorHAnsi" w:cstheme="minorHAnsi"/>
          <w:color w:val="auto"/>
          <w:sz w:val="22"/>
          <w:highlight w:val="yellow"/>
        </w:rPr>
        <w:t>$1</w:t>
      </w:r>
      <w:r w:rsidR="00092E40" w:rsidRPr="002A364A">
        <w:rPr>
          <w:rFonts w:asciiTheme="minorHAnsi" w:hAnsiTheme="minorHAnsi" w:cstheme="minorHAnsi"/>
          <w:color w:val="auto"/>
          <w:sz w:val="22"/>
          <w:highlight w:val="yellow"/>
        </w:rPr>
        <w:t>80</w:t>
      </w:r>
      <w:r w:rsidRPr="002A364A">
        <w:rPr>
          <w:rFonts w:asciiTheme="minorHAnsi" w:hAnsiTheme="minorHAnsi" w:cstheme="minorHAnsi"/>
          <w:color w:val="auto"/>
          <w:sz w:val="22"/>
          <w:highlight w:val="yellow"/>
        </w:rPr>
        <w:t>K ARR</w:t>
      </w:r>
      <w:r w:rsidRPr="002A364A">
        <w:rPr>
          <w:rFonts w:asciiTheme="minorHAnsi" w:hAnsiTheme="minorHAnsi" w:cstheme="minorHAnsi"/>
          <w:color w:val="auto"/>
          <w:sz w:val="22"/>
        </w:rPr>
        <w:t xml:space="preserve"> has been stopped at the gates by the CFO requesting exploration and evaluation of Oracle Cloud Infrastructure. The successful evaluation and implementation of pre-defined use cases on OCI </w:t>
      </w:r>
      <w:r w:rsidR="00A56ACD" w:rsidRPr="002A364A">
        <w:rPr>
          <w:rFonts w:asciiTheme="minorHAnsi" w:hAnsiTheme="minorHAnsi" w:cstheme="minorHAnsi"/>
          <w:color w:val="auto"/>
          <w:sz w:val="22"/>
        </w:rPr>
        <w:t>w</w:t>
      </w:r>
      <w:r w:rsidRPr="002A364A">
        <w:rPr>
          <w:rFonts w:asciiTheme="minorHAnsi" w:hAnsiTheme="minorHAnsi" w:cstheme="minorHAnsi"/>
          <w:color w:val="auto"/>
          <w:sz w:val="22"/>
        </w:rPr>
        <w:t xml:space="preserve">ould result in an overall deal size worth </w:t>
      </w:r>
      <w:r w:rsidRPr="002A364A">
        <w:rPr>
          <w:rFonts w:asciiTheme="minorHAnsi" w:hAnsiTheme="minorHAnsi" w:cstheme="minorHAnsi"/>
          <w:color w:val="auto"/>
          <w:sz w:val="22"/>
          <w:highlight w:val="yellow"/>
        </w:rPr>
        <w:t>$720K over 4 years</w:t>
      </w:r>
      <w:r w:rsidRPr="002A364A">
        <w:rPr>
          <w:rFonts w:asciiTheme="minorHAnsi" w:hAnsiTheme="minorHAnsi" w:cstheme="minorHAnsi"/>
          <w:color w:val="auto"/>
          <w:sz w:val="22"/>
        </w:rPr>
        <w:t>.</w:t>
      </w:r>
      <w:r>
        <w:rPr>
          <w:rFonts w:asciiTheme="minorHAnsi" w:hAnsiTheme="minorHAnsi" w:cstheme="minorHAnsi"/>
          <w:color w:val="auto"/>
          <w:sz w:val="22"/>
        </w:rPr>
        <w:t xml:space="preserve"> </w:t>
      </w:r>
    </w:p>
    <w:p w14:paraId="2446241D" w14:textId="33366588" w:rsidR="007616DD" w:rsidRPr="007616DD" w:rsidRDefault="007616DD" w:rsidP="00C119BA">
      <w:pPr>
        <w:pStyle w:val="Heading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616DD">
        <w:rPr>
          <w:rFonts w:asciiTheme="minorHAnsi" w:hAnsiTheme="minorHAnsi" w:cstheme="minorHAnsi"/>
          <w:color w:val="auto"/>
          <w:sz w:val="22"/>
          <w:szCs w:val="22"/>
        </w:rPr>
        <w:t>While the successful completion of the OCI evaluation will hasten the completion of the current deal, it could cement OCI as the cloud vendor for a larger long-term strategic solution implementation.</w:t>
      </w:r>
    </w:p>
    <w:p w14:paraId="48E1F1B7" w14:textId="69A412D3" w:rsidR="007616DD" w:rsidRDefault="007616DD" w:rsidP="007616DD">
      <w:pPr>
        <w:rPr>
          <w:rFonts w:ascii="Calibri" w:hAnsi="Calibri" w:cs="Calibri"/>
          <w:sz w:val="22"/>
          <w:szCs w:val="22"/>
        </w:rPr>
      </w:pPr>
    </w:p>
    <w:p w14:paraId="171097FB" w14:textId="642080BC" w:rsidR="007616DD" w:rsidRDefault="007616DD" w:rsidP="007616DD">
      <w:pPr>
        <w:pStyle w:val="Heading1"/>
        <w:numPr>
          <w:ilvl w:val="0"/>
          <w:numId w:val="3"/>
        </w:numPr>
      </w:pPr>
      <w:r>
        <w:t>Consumption Plan</w:t>
      </w:r>
    </w:p>
    <w:p w14:paraId="56730EEE" w14:textId="77777777" w:rsidR="007616DD" w:rsidRPr="007616DD" w:rsidRDefault="007616DD" w:rsidP="007616DD">
      <w:pPr>
        <w:rPr>
          <w:rFonts w:ascii="Calibri" w:hAnsi="Calibri" w:cs="Calibri"/>
          <w:sz w:val="22"/>
          <w:szCs w:val="22"/>
        </w:rPr>
      </w:pPr>
    </w:p>
    <w:p w14:paraId="24EDD9B3" w14:textId="4B26A2F3" w:rsidR="00102C61" w:rsidRDefault="00102C61" w:rsidP="00C119BA">
      <w:pPr>
        <w:pStyle w:val="Heading1"/>
        <w:jc w:val="both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 xml:space="preserve">The OCI consumption ramp </w:t>
      </w:r>
      <w:r w:rsidR="00D328C5">
        <w:rPr>
          <w:rFonts w:asciiTheme="minorHAnsi" w:hAnsiTheme="minorHAnsi" w:cstheme="minorHAnsi"/>
          <w:color w:val="auto"/>
          <w:sz w:val="22"/>
        </w:rPr>
        <w:t xml:space="preserve">for the current deal </w:t>
      </w:r>
      <w:r>
        <w:rPr>
          <w:rFonts w:asciiTheme="minorHAnsi" w:hAnsiTheme="minorHAnsi" w:cstheme="minorHAnsi"/>
          <w:color w:val="auto"/>
          <w:sz w:val="22"/>
        </w:rPr>
        <w:t>would be as follows:-</w:t>
      </w:r>
    </w:p>
    <w:p w14:paraId="71C90BAB" w14:textId="48D18207" w:rsidR="00102C61" w:rsidRDefault="00102C61" w:rsidP="00C119BA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02C61" w14:paraId="18B4C8A3" w14:textId="77777777" w:rsidTr="00102C61">
        <w:tc>
          <w:tcPr>
            <w:tcW w:w="1870" w:type="dxa"/>
          </w:tcPr>
          <w:p w14:paraId="647A02DF" w14:textId="77777777" w:rsidR="00102C61" w:rsidRDefault="00102C61" w:rsidP="00102C61"/>
        </w:tc>
        <w:tc>
          <w:tcPr>
            <w:tcW w:w="1870" w:type="dxa"/>
          </w:tcPr>
          <w:p w14:paraId="3C78FC19" w14:textId="77777777" w:rsidR="00102C61" w:rsidRDefault="00102C61" w:rsidP="00102C61">
            <w:pPr>
              <w:jc w:val="center"/>
            </w:pPr>
            <w:r>
              <w:t>Year 1</w:t>
            </w:r>
          </w:p>
          <w:p w14:paraId="37CD152E" w14:textId="2C7DCD66" w:rsidR="00102C61" w:rsidRDefault="00102C61" w:rsidP="00102C61">
            <w:pPr>
              <w:jc w:val="center"/>
            </w:pPr>
            <w:r>
              <w:t>(monthly)</w:t>
            </w:r>
          </w:p>
        </w:tc>
        <w:tc>
          <w:tcPr>
            <w:tcW w:w="1870" w:type="dxa"/>
          </w:tcPr>
          <w:p w14:paraId="6079158E" w14:textId="77777777" w:rsidR="00102C61" w:rsidRDefault="00102C61" w:rsidP="00102C61">
            <w:pPr>
              <w:jc w:val="center"/>
            </w:pPr>
            <w:r>
              <w:t>Year 2</w:t>
            </w:r>
          </w:p>
          <w:p w14:paraId="51B25C54" w14:textId="7A3870A9" w:rsidR="00102C61" w:rsidRDefault="00102C61" w:rsidP="00102C61">
            <w:pPr>
              <w:jc w:val="center"/>
            </w:pPr>
            <w:r>
              <w:t>(monthly)</w:t>
            </w:r>
          </w:p>
        </w:tc>
        <w:tc>
          <w:tcPr>
            <w:tcW w:w="1870" w:type="dxa"/>
          </w:tcPr>
          <w:p w14:paraId="579E8AB5" w14:textId="77777777" w:rsidR="00102C61" w:rsidRDefault="00102C61" w:rsidP="00102C61">
            <w:pPr>
              <w:jc w:val="center"/>
            </w:pPr>
            <w:r>
              <w:t>Year 3</w:t>
            </w:r>
          </w:p>
          <w:p w14:paraId="428CDB75" w14:textId="51A112EF" w:rsidR="00102C61" w:rsidRDefault="00102C61" w:rsidP="00102C61">
            <w:pPr>
              <w:jc w:val="center"/>
            </w:pPr>
            <w:r>
              <w:t>(monthly)</w:t>
            </w:r>
          </w:p>
        </w:tc>
        <w:tc>
          <w:tcPr>
            <w:tcW w:w="1870" w:type="dxa"/>
          </w:tcPr>
          <w:p w14:paraId="25C2A491" w14:textId="77777777" w:rsidR="00102C61" w:rsidRDefault="00102C61" w:rsidP="00102C61">
            <w:pPr>
              <w:jc w:val="center"/>
            </w:pPr>
            <w:r>
              <w:t>Year 4</w:t>
            </w:r>
          </w:p>
          <w:p w14:paraId="30CBE249" w14:textId="20DF7715" w:rsidR="00102C61" w:rsidRDefault="00102C61" w:rsidP="00102C61">
            <w:pPr>
              <w:jc w:val="center"/>
            </w:pPr>
            <w:r>
              <w:t>(monthly)</w:t>
            </w:r>
          </w:p>
        </w:tc>
      </w:tr>
      <w:tr w:rsidR="00102C61" w14:paraId="1ED65C15" w14:textId="77777777" w:rsidTr="00102C61">
        <w:tc>
          <w:tcPr>
            <w:tcW w:w="1870" w:type="dxa"/>
          </w:tcPr>
          <w:p w14:paraId="6A81DEF1" w14:textId="53884EF0" w:rsidR="00102C61" w:rsidRDefault="00102C61" w:rsidP="00102C61">
            <w:pPr>
              <w:jc w:val="center"/>
            </w:pPr>
            <w:r>
              <w:t>OCI Consumption</w:t>
            </w:r>
          </w:p>
        </w:tc>
        <w:tc>
          <w:tcPr>
            <w:tcW w:w="1870" w:type="dxa"/>
          </w:tcPr>
          <w:p w14:paraId="24620D98" w14:textId="77777777" w:rsidR="00102C61" w:rsidRDefault="00102C61" w:rsidP="00102C61">
            <w:pPr>
              <w:jc w:val="center"/>
            </w:pPr>
          </w:p>
          <w:p w14:paraId="1352B991" w14:textId="2F4926CB" w:rsidR="00102C61" w:rsidRDefault="00102C61" w:rsidP="00102C61">
            <w:pPr>
              <w:jc w:val="center"/>
            </w:pPr>
            <w:r>
              <w:t>$10K</w:t>
            </w:r>
          </w:p>
        </w:tc>
        <w:tc>
          <w:tcPr>
            <w:tcW w:w="1870" w:type="dxa"/>
          </w:tcPr>
          <w:p w14:paraId="64349464" w14:textId="77777777" w:rsidR="00102C61" w:rsidRDefault="00102C61" w:rsidP="00102C61">
            <w:pPr>
              <w:jc w:val="center"/>
            </w:pPr>
          </w:p>
          <w:p w14:paraId="67A5A65F" w14:textId="60B03D82" w:rsidR="00102C61" w:rsidRDefault="00102C61" w:rsidP="00102C61">
            <w:pPr>
              <w:jc w:val="center"/>
            </w:pPr>
            <w:r>
              <w:t>$15K</w:t>
            </w:r>
          </w:p>
        </w:tc>
        <w:tc>
          <w:tcPr>
            <w:tcW w:w="1870" w:type="dxa"/>
          </w:tcPr>
          <w:p w14:paraId="05C458A5" w14:textId="77777777" w:rsidR="00102C61" w:rsidRDefault="00102C61" w:rsidP="00102C61">
            <w:pPr>
              <w:jc w:val="center"/>
            </w:pPr>
          </w:p>
          <w:p w14:paraId="58EC7B47" w14:textId="502DBD4F" w:rsidR="00102C61" w:rsidRDefault="00102C61" w:rsidP="00102C61">
            <w:pPr>
              <w:jc w:val="center"/>
            </w:pPr>
            <w:r>
              <w:t>$15K</w:t>
            </w:r>
          </w:p>
        </w:tc>
        <w:tc>
          <w:tcPr>
            <w:tcW w:w="1870" w:type="dxa"/>
          </w:tcPr>
          <w:p w14:paraId="27C2C58A" w14:textId="77777777" w:rsidR="00102C61" w:rsidRDefault="00102C61" w:rsidP="00102C61">
            <w:pPr>
              <w:jc w:val="center"/>
            </w:pPr>
          </w:p>
          <w:p w14:paraId="6C5DD5EE" w14:textId="77777777" w:rsidR="00102C61" w:rsidRDefault="00102C61" w:rsidP="00102C61">
            <w:pPr>
              <w:jc w:val="center"/>
            </w:pPr>
            <w:r>
              <w:t>$20K</w:t>
            </w:r>
          </w:p>
          <w:p w14:paraId="03423ACC" w14:textId="762108DC" w:rsidR="00102C61" w:rsidRDefault="00102C61" w:rsidP="00102C61">
            <w:pPr>
              <w:jc w:val="center"/>
            </w:pPr>
          </w:p>
        </w:tc>
      </w:tr>
    </w:tbl>
    <w:p w14:paraId="28761764" w14:textId="66DDF220" w:rsidR="00102C61" w:rsidRDefault="00102C61" w:rsidP="00C119BA">
      <w:pPr>
        <w:jc w:val="both"/>
      </w:pPr>
    </w:p>
    <w:p w14:paraId="6B9EAF02" w14:textId="3D78DED8" w:rsidR="00A95CCA" w:rsidRDefault="00A95CCA" w:rsidP="00C119BA">
      <w:pPr>
        <w:jc w:val="both"/>
      </w:pPr>
      <w:r>
        <w:t>The monthly, ARR and Total Contract Value of the OCI and consumption plan details are as follows.</w:t>
      </w:r>
      <w:bookmarkStart w:id="5" w:name="_GoBack"/>
      <w:bookmarkEnd w:id="5"/>
      <w:r>
        <w:t xml:space="preserve"> </w:t>
      </w:r>
    </w:p>
    <w:p w14:paraId="37BD1F41" w14:textId="750A0B7A" w:rsidR="00AE3070" w:rsidRDefault="00046B0F" w:rsidP="00C119BA">
      <w:pPr>
        <w:jc w:val="both"/>
      </w:pPr>
      <w:r>
        <w:rPr>
          <w:noProof/>
        </w:rPr>
        <w:lastRenderedPageBreak/>
        <w:drawing>
          <wp:inline distT="0" distB="0" distL="0" distR="0" wp14:anchorId="1D674A39" wp14:editId="6111119F">
            <wp:extent cx="4943475" cy="3959204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8489" cy="396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D533C" w14:textId="28B444B6" w:rsidR="00DE7B01" w:rsidRPr="00D328C5" w:rsidRDefault="00DE7B01" w:rsidP="00C119BA">
      <w:pPr>
        <w:jc w:val="both"/>
      </w:pPr>
    </w:p>
    <w:p w14:paraId="5DBDBF83" w14:textId="70A36A8F" w:rsidR="0067103A" w:rsidRDefault="0067103A" w:rsidP="00796AEB">
      <w:pPr>
        <w:pStyle w:val="Heading1"/>
        <w:numPr>
          <w:ilvl w:val="0"/>
          <w:numId w:val="3"/>
        </w:numPr>
      </w:pPr>
      <w:bookmarkStart w:id="6" w:name="_Toc504034848"/>
      <w:bookmarkEnd w:id="2"/>
      <w:bookmarkEnd w:id="3"/>
      <w:bookmarkEnd w:id="4"/>
      <w:r>
        <w:t>Success Criteria</w:t>
      </w:r>
    </w:p>
    <w:p w14:paraId="483BF446" w14:textId="205FF9C9" w:rsidR="0067103A" w:rsidRDefault="0067103A" w:rsidP="0027326A">
      <w:pPr>
        <w:jc w:val="both"/>
      </w:pPr>
    </w:p>
    <w:p w14:paraId="10A92F06" w14:textId="6E5C2987" w:rsidR="00CC2718" w:rsidRDefault="00CC2718" w:rsidP="005213C4">
      <w:pPr>
        <w:pStyle w:val="ListParagraph"/>
        <w:numPr>
          <w:ilvl w:val="0"/>
          <w:numId w:val="32"/>
        </w:numPr>
        <w:jc w:val="both"/>
      </w:pPr>
      <w:r>
        <w:t>OCI Tenancy provisioned for MGM</w:t>
      </w:r>
      <w:r w:rsidR="005213C4">
        <w:t xml:space="preserve"> for </w:t>
      </w:r>
      <w:r>
        <w:t>3 month</w:t>
      </w:r>
      <w:r w:rsidR="005213C4">
        <w:t>’</w:t>
      </w:r>
      <w:r w:rsidR="00F44773">
        <w:t>s</w:t>
      </w:r>
      <w:r>
        <w:t xml:space="preserve"> timeframe </w:t>
      </w:r>
      <w:r w:rsidR="00F44773">
        <w:t xml:space="preserve">with </w:t>
      </w:r>
      <w:r>
        <w:t>$15K a month UCC credits</w:t>
      </w:r>
    </w:p>
    <w:p w14:paraId="77C37744" w14:textId="64AAF63F" w:rsidR="00450792" w:rsidRDefault="00A4736A" w:rsidP="0027326A">
      <w:pPr>
        <w:pStyle w:val="ListParagraph"/>
        <w:numPr>
          <w:ilvl w:val="0"/>
          <w:numId w:val="32"/>
        </w:numPr>
        <w:jc w:val="both"/>
      </w:pPr>
      <w:r>
        <w:t xml:space="preserve">Implement DBCS </w:t>
      </w:r>
      <w:r w:rsidR="00F44773">
        <w:t xml:space="preserve">as the data store </w:t>
      </w:r>
      <w:r>
        <w:t xml:space="preserve">for MGM’s </w:t>
      </w:r>
      <w:r w:rsidR="00450792">
        <w:t>internal business processes</w:t>
      </w:r>
      <w:r w:rsidR="005213C4">
        <w:t xml:space="preserve"> as POC use cases</w:t>
      </w:r>
      <w:r w:rsidR="001B1693">
        <w:t xml:space="preserve"> (details below)</w:t>
      </w:r>
      <w:r w:rsidR="00450792">
        <w:t>.</w:t>
      </w:r>
    </w:p>
    <w:p w14:paraId="59147551" w14:textId="77777777" w:rsidR="00922297" w:rsidRDefault="00922297" w:rsidP="00922297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4230"/>
        <w:gridCol w:w="4495"/>
      </w:tblGrid>
      <w:tr w:rsidR="00922297" w14:paraId="66D5BE40" w14:textId="77777777" w:rsidTr="00922297">
        <w:tc>
          <w:tcPr>
            <w:tcW w:w="625" w:type="dxa"/>
          </w:tcPr>
          <w:p w14:paraId="189B4AD7" w14:textId="77777777" w:rsidR="00922297" w:rsidRDefault="00922297" w:rsidP="00922297">
            <w:pPr>
              <w:jc w:val="center"/>
            </w:pPr>
          </w:p>
          <w:p w14:paraId="1564CE24" w14:textId="1422DD95" w:rsidR="00922297" w:rsidRDefault="00922297" w:rsidP="00922297">
            <w:pPr>
              <w:jc w:val="center"/>
            </w:pPr>
            <w:r>
              <w:t>No.</w:t>
            </w:r>
          </w:p>
        </w:tc>
        <w:tc>
          <w:tcPr>
            <w:tcW w:w="4230" w:type="dxa"/>
          </w:tcPr>
          <w:p w14:paraId="58A6DAC0" w14:textId="77777777" w:rsidR="00922297" w:rsidRDefault="00922297" w:rsidP="00922297">
            <w:pPr>
              <w:jc w:val="center"/>
            </w:pPr>
          </w:p>
          <w:p w14:paraId="574505EE" w14:textId="3E8FE379" w:rsidR="00922297" w:rsidRDefault="00B93DCC" w:rsidP="00B93DCC">
            <w:pPr>
              <w:jc w:val="center"/>
            </w:pPr>
            <w:r>
              <w:t>Criteria</w:t>
            </w:r>
          </w:p>
        </w:tc>
        <w:tc>
          <w:tcPr>
            <w:tcW w:w="4495" w:type="dxa"/>
          </w:tcPr>
          <w:p w14:paraId="40705F5C" w14:textId="77777777" w:rsidR="00922297" w:rsidRDefault="00922297" w:rsidP="00922297">
            <w:pPr>
              <w:jc w:val="center"/>
            </w:pPr>
          </w:p>
          <w:p w14:paraId="5072A7B2" w14:textId="59983D31" w:rsidR="00922297" w:rsidRDefault="00922297" w:rsidP="00922297">
            <w:pPr>
              <w:jc w:val="center"/>
            </w:pPr>
            <w:r>
              <w:t>Outcome</w:t>
            </w:r>
          </w:p>
          <w:p w14:paraId="0E0166E9" w14:textId="520978F8" w:rsidR="00922297" w:rsidRDefault="00922297" w:rsidP="00922297">
            <w:pPr>
              <w:jc w:val="center"/>
            </w:pPr>
          </w:p>
        </w:tc>
      </w:tr>
      <w:tr w:rsidR="00922297" w14:paraId="4C71E44E" w14:textId="77777777" w:rsidTr="00922297">
        <w:tc>
          <w:tcPr>
            <w:tcW w:w="625" w:type="dxa"/>
          </w:tcPr>
          <w:p w14:paraId="539CD601" w14:textId="77777777" w:rsidR="00275A90" w:rsidRDefault="00275A90" w:rsidP="00922297">
            <w:pPr>
              <w:jc w:val="center"/>
            </w:pPr>
          </w:p>
          <w:p w14:paraId="04F85605" w14:textId="77777777" w:rsidR="00450792" w:rsidRDefault="00450792" w:rsidP="00922297">
            <w:pPr>
              <w:jc w:val="center"/>
            </w:pPr>
          </w:p>
          <w:p w14:paraId="30F093A3" w14:textId="20C371FA" w:rsidR="00922297" w:rsidRDefault="00922297" w:rsidP="00922297">
            <w:pPr>
              <w:jc w:val="center"/>
            </w:pPr>
            <w:r>
              <w:t>1.</w:t>
            </w:r>
          </w:p>
        </w:tc>
        <w:tc>
          <w:tcPr>
            <w:tcW w:w="4230" w:type="dxa"/>
          </w:tcPr>
          <w:p w14:paraId="687E766D" w14:textId="77777777" w:rsidR="00275A90" w:rsidRDefault="00275A90" w:rsidP="00922297">
            <w:pPr>
              <w:jc w:val="both"/>
            </w:pPr>
          </w:p>
          <w:p w14:paraId="3D1A27DA" w14:textId="77777777" w:rsidR="00275A90" w:rsidRDefault="00275A90" w:rsidP="00922297">
            <w:pPr>
              <w:jc w:val="both"/>
            </w:pPr>
          </w:p>
          <w:p w14:paraId="185CADC2" w14:textId="5692141B" w:rsidR="00922297" w:rsidRDefault="00922297" w:rsidP="00922297">
            <w:pPr>
              <w:jc w:val="both"/>
            </w:pPr>
            <w:r>
              <w:t>Why are we doing this PoC?</w:t>
            </w:r>
          </w:p>
        </w:tc>
        <w:tc>
          <w:tcPr>
            <w:tcW w:w="4495" w:type="dxa"/>
          </w:tcPr>
          <w:p w14:paraId="795C3B0C" w14:textId="77777777" w:rsidR="00275A90" w:rsidRDefault="00275A90" w:rsidP="00922297">
            <w:pPr>
              <w:jc w:val="both"/>
            </w:pPr>
          </w:p>
          <w:p w14:paraId="07D23457" w14:textId="77777777" w:rsidR="00922297" w:rsidRDefault="00922297" w:rsidP="00922297">
            <w:pPr>
              <w:jc w:val="both"/>
            </w:pPr>
            <w:r>
              <w:t xml:space="preserve">To establish Oracle and therefor OCI as a reliable and trusted Cloud vendor for MGM’s short-term and long-term strategic use cases. </w:t>
            </w:r>
          </w:p>
          <w:p w14:paraId="3682A147" w14:textId="62523BEF" w:rsidR="00275A90" w:rsidRDefault="00275A90" w:rsidP="00922297">
            <w:pPr>
              <w:jc w:val="both"/>
            </w:pPr>
          </w:p>
        </w:tc>
      </w:tr>
      <w:tr w:rsidR="00922297" w14:paraId="033E6700" w14:textId="77777777" w:rsidTr="00922297">
        <w:tc>
          <w:tcPr>
            <w:tcW w:w="625" w:type="dxa"/>
          </w:tcPr>
          <w:p w14:paraId="2B99974C" w14:textId="77777777" w:rsidR="00275A90" w:rsidRDefault="00275A90" w:rsidP="00922297">
            <w:pPr>
              <w:jc w:val="center"/>
            </w:pPr>
          </w:p>
          <w:p w14:paraId="48505110" w14:textId="2CF7703D" w:rsidR="00922297" w:rsidRDefault="00922297" w:rsidP="00922297">
            <w:pPr>
              <w:jc w:val="center"/>
            </w:pPr>
            <w:r>
              <w:t>2.</w:t>
            </w:r>
          </w:p>
        </w:tc>
        <w:tc>
          <w:tcPr>
            <w:tcW w:w="4230" w:type="dxa"/>
          </w:tcPr>
          <w:p w14:paraId="3E15F2F9" w14:textId="77777777" w:rsidR="00275A90" w:rsidRDefault="00275A90" w:rsidP="00922297">
            <w:pPr>
              <w:jc w:val="both"/>
            </w:pPr>
          </w:p>
          <w:p w14:paraId="4C42ACA7" w14:textId="4F77B2DF" w:rsidR="00922297" w:rsidRDefault="00922297" w:rsidP="00922297">
            <w:pPr>
              <w:jc w:val="both"/>
            </w:pPr>
            <w:r>
              <w:t>What are we trying to achieve?</w:t>
            </w:r>
          </w:p>
        </w:tc>
        <w:tc>
          <w:tcPr>
            <w:tcW w:w="4495" w:type="dxa"/>
          </w:tcPr>
          <w:p w14:paraId="25860729" w14:textId="77777777" w:rsidR="00275A90" w:rsidRDefault="00275A90" w:rsidP="00922297">
            <w:pPr>
              <w:jc w:val="both"/>
            </w:pPr>
          </w:p>
          <w:p w14:paraId="46239320" w14:textId="1A00A351" w:rsidR="00922297" w:rsidRDefault="00922297" w:rsidP="002D3774">
            <w:r>
              <w:t>We are trying to cement OCI as the cloud infrastructure for current PaaS use cases as follows:-</w:t>
            </w:r>
          </w:p>
          <w:p w14:paraId="6E6E7E0D" w14:textId="620AB418" w:rsidR="00922297" w:rsidRDefault="00922297" w:rsidP="002D3774">
            <w:pPr>
              <w:pStyle w:val="ListParagraph"/>
              <w:numPr>
                <w:ilvl w:val="0"/>
                <w:numId w:val="33"/>
              </w:numPr>
            </w:pPr>
            <w:r>
              <w:lastRenderedPageBreak/>
              <w:t>Database Cloud Service</w:t>
            </w:r>
          </w:p>
          <w:p w14:paraId="59EE4FC9" w14:textId="44C7DB65" w:rsidR="00922297" w:rsidRDefault="00922297" w:rsidP="002D3774">
            <w:pPr>
              <w:pStyle w:val="ListParagraph"/>
              <w:numPr>
                <w:ilvl w:val="0"/>
                <w:numId w:val="33"/>
              </w:numPr>
            </w:pPr>
            <w:r>
              <w:t>Autonomous Database (ATP)</w:t>
            </w:r>
          </w:p>
          <w:p w14:paraId="2A6B7292" w14:textId="4DB91FE5" w:rsidR="00922297" w:rsidRDefault="00922297" w:rsidP="002D3774">
            <w:pPr>
              <w:pStyle w:val="ListParagraph"/>
              <w:numPr>
                <w:ilvl w:val="0"/>
                <w:numId w:val="33"/>
              </w:numPr>
            </w:pPr>
            <w:r>
              <w:t>Oracle Integration Cloud (OIC)</w:t>
            </w:r>
          </w:p>
          <w:p w14:paraId="61F0C815" w14:textId="77777777" w:rsidR="00922297" w:rsidRDefault="00275A90" w:rsidP="002D3774">
            <w:pPr>
              <w:pStyle w:val="ListParagraph"/>
              <w:numPr>
                <w:ilvl w:val="0"/>
                <w:numId w:val="33"/>
              </w:numPr>
            </w:pPr>
            <w:r>
              <w:t>Oracle Analytics Cloud (OAC)</w:t>
            </w:r>
          </w:p>
          <w:p w14:paraId="34E65457" w14:textId="21CD743B" w:rsidR="00275A90" w:rsidRDefault="00275A90" w:rsidP="00275A90">
            <w:pPr>
              <w:jc w:val="both"/>
            </w:pPr>
          </w:p>
        </w:tc>
      </w:tr>
      <w:tr w:rsidR="00922297" w14:paraId="14D2B0D8" w14:textId="77777777" w:rsidTr="00922297">
        <w:tc>
          <w:tcPr>
            <w:tcW w:w="625" w:type="dxa"/>
          </w:tcPr>
          <w:p w14:paraId="45356884" w14:textId="77777777" w:rsidR="00275A90" w:rsidRDefault="00275A90" w:rsidP="00922297">
            <w:pPr>
              <w:jc w:val="center"/>
            </w:pPr>
          </w:p>
          <w:p w14:paraId="0C0212DE" w14:textId="7ED179AA" w:rsidR="00922297" w:rsidRDefault="00275A90" w:rsidP="00922297">
            <w:pPr>
              <w:jc w:val="center"/>
            </w:pPr>
            <w:r>
              <w:t>3.</w:t>
            </w:r>
          </w:p>
        </w:tc>
        <w:tc>
          <w:tcPr>
            <w:tcW w:w="4230" w:type="dxa"/>
          </w:tcPr>
          <w:p w14:paraId="48472C99" w14:textId="77777777" w:rsidR="00275A90" w:rsidRDefault="00275A90" w:rsidP="00922297">
            <w:pPr>
              <w:jc w:val="both"/>
            </w:pPr>
          </w:p>
          <w:p w14:paraId="469A740A" w14:textId="3E467FB4" w:rsidR="00922297" w:rsidRDefault="00275A90" w:rsidP="00922297">
            <w:pPr>
              <w:jc w:val="both"/>
            </w:pPr>
            <w:r>
              <w:t>What are we comparing this to?</w:t>
            </w:r>
          </w:p>
        </w:tc>
        <w:tc>
          <w:tcPr>
            <w:tcW w:w="4495" w:type="dxa"/>
          </w:tcPr>
          <w:p w14:paraId="2EC380AE" w14:textId="77777777" w:rsidR="00275A90" w:rsidRDefault="00275A90" w:rsidP="002D3774"/>
          <w:p w14:paraId="0DAEE5BF" w14:textId="5DDA4863" w:rsidR="00275A90" w:rsidRDefault="00275A90" w:rsidP="002D3774">
            <w:pPr>
              <w:pStyle w:val="ListParagraph"/>
              <w:numPr>
                <w:ilvl w:val="0"/>
                <w:numId w:val="34"/>
              </w:numPr>
            </w:pPr>
            <w:r>
              <w:t xml:space="preserve">No particular competitor </w:t>
            </w:r>
          </w:p>
          <w:p w14:paraId="6E9ACE59" w14:textId="1335B008" w:rsidR="00922297" w:rsidRDefault="00275A90" w:rsidP="002D3774">
            <w:pPr>
              <w:pStyle w:val="ListParagraph"/>
              <w:numPr>
                <w:ilvl w:val="0"/>
                <w:numId w:val="34"/>
              </w:numPr>
            </w:pPr>
            <w:r>
              <w:t>MGM CFO wants a successful evaluation and completion of a POC before establishing a long-term relationship with Oracle for all their Cloud use cases.</w:t>
            </w:r>
          </w:p>
          <w:p w14:paraId="2E62869B" w14:textId="4017DD8A" w:rsidR="00275A90" w:rsidRDefault="00275A90" w:rsidP="00922297">
            <w:pPr>
              <w:jc w:val="both"/>
            </w:pPr>
          </w:p>
        </w:tc>
      </w:tr>
      <w:tr w:rsidR="00922297" w14:paraId="59258339" w14:textId="77777777" w:rsidTr="00922297">
        <w:tc>
          <w:tcPr>
            <w:tcW w:w="625" w:type="dxa"/>
          </w:tcPr>
          <w:p w14:paraId="7415AE6D" w14:textId="77777777" w:rsidR="00275A90" w:rsidRDefault="00275A90" w:rsidP="00922297">
            <w:pPr>
              <w:jc w:val="center"/>
            </w:pPr>
          </w:p>
          <w:p w14:paraId="71D6FB59" w14:textId="5DE6A35A" w:rsidR="00922297" w:rsidRDefault="00275A90" w:rsidP="00922297">
            <w:pPr>
              <w:jc w:val="center"/>
            </w:pPr>
            <w:r>
              <w:t>4.</w:t>
            </w:r>
          </w:p>
        </w:tc>
        <w:tc>
          <w:tcPr>
            <w:tcW w:w="4230" w:type="dxa"/>
          </w:tcPr>
          <w:p w14:paraId="65DCA7B2" w14:textId="77777777" w:rsidR="00275A90" w:rsidRDefault="00275A90" w:rsidP="00922297">
            <w:pPr>
              <w:jc w:val="both"/>
            </w:pPr>
          </w:p>
          <w:p w14:paraId="5B28A769" w14:textId="33FC15EB" w:rsidR="00922297" w:rsidRDefault="00275A90" w:rsidP="00922297">
            <w:pPr>
              <w:jc w:val="both"/>
            </w:pPr>
            <w:r>
              <w:t>Are we testing a specific business process?</w:t>
            </w:r>
          </w:p>
          <w:p w14:paraId="5F757DF7" w14:textId="30EBA513" w:rsidR="00275A90" w:rsidRDefault="00275A90" w:rsidP="00922297">
            <w:pPr>
              <w:jc w:val="both"/>
            </w:pPr>
          </w:p>
        </w:tc>
        <w:tc>
          <w:tcPr>
            <w:tcW w:w="4495" w:type="dxa"/>
          </w:tcPr>
          <w:p w14:paraId="356E09C1" w14:textId="77777777" w:rsidR="00275A90" w:rsidRDefault="00275A90" w:rsidP="002D3774"/>
          <w:p w14:paraId="4E5532DD" w14:textId="2A3A45E9" w:rsidR="00275A90" w:rsidRDefault="00275A90" w:rsidP="002D3774">
            <w:pPr>
              <w:pStyle w:val="ListParagraph"/>
              <w:numPr>
                <w:ilvl w:val="0"/>
                <w:numId w:val="35"/>
              </w:numPr>
            </w:pPr>
            <w:r>
              <w:t xml:space="preserve">Yes. For the POC we’ll be testing DBCS as the dedicated and secure </w:t>
            </w:r>
            <w:r w:rsidR="00735946">
              <w:t>d</w:t>
            </w:r>
            <w:r>
              <w:t>ata</w:t>
            </w:r>
            <w:r w:rsidR="007E147E">
              <w:t xml:space="preserve"> </w:t>
            </w:r>
            <w:r>
              <w:t>store for the following business processes.</w:t>
            </w:r>
            <w:r w:rsidR="004248A0">
              <w:t xml:space="preserve"> </w:t>
            </w:r>
          </w:p>
          <w:p w14:paraId="6FA8A6AC" w14:textId="14A4F470" w:rsidR="00275A90" w:rsidRDefault="002D3774" w:rsidP="002D3774">
            <w:pPr>
              <w:pStyle w:val="ListParagraph"/>
              <w:numPr>
                <w:ilvl w:val="0"/>
                <w:numId w:val="35"/>
              </w:numPr>
            </w:pPr>
            <w:r>
              <w:t>Supplier Licensing</w:t>
            </w:r>
            <w:r w:rsidR="00C438D2">
              <w:t>*</w:t>
            </w:r>
            <w:r>
              <w:t xml:space="preserve"> </w:t>
            </w:r>
          </w:p>
          <w:p w14:paraId="261AF3FA" w14:textId="17422436" w:rsidR="00275A90" w:rsidRDefault="00275A90" w:rsidP="002D3774">
            <w:pPr>
              <w:pStyle w:val="ListParagraph"/>
              <w:numPr>
                <w:ilvl w:val="0"/>
                <w:numId w:val="35"/>
              </w:numPr>
            </w:pPr>
            <w:r>
              <w:t>Wired Applications</w:t>
            </w:r>
            <w:r w:rsidR="00C438D2">
              <w:t>*</w:t>
            </w:r>
          </w:p>
          <w:p w14:paraId="4AC8F6FF" w14:textId="5F73F5F2" w:rsidR="00275A90" w:rsidRDefault="00275A90" w:rsidP="002D3774">
            <w:pPr>
              <w:pStyle w:val="ListParagraph"/>
              <w:numPr>
                <w:ilvl w:val="0"/>
                <w:numId w:val="35"/>
              </w:numPr>
            </w:pPr>
            <w:r>
              <w:t>Translator Solution</w:t>
            </w:r>
            <w:r w:rsidR="00C438D2">
              <w:t>*</w:t>
            </w:r>
          </w:p>
          <w:p w14:paraId="204F975F" w14:textId="77777777" w:rsidR="00922297" w:rsidRDefault="00275A90" w:rsidP="002D3774">
            <w:r>
              <w:t xml:space="preserve"> </w:t>
            </w:r>
          </w:p>
          <w:p w14:paraId="426A0DC7" w14:textId="77777777" w:rsidR="00C438D2" w:rsidRPr="000B7ACC" w:rsidRDefault="00C438D2" w:rsidP="00C438D2">
            <w:pPr>
              <w:rPr>
                <w:i/>
                <w:sz w:val="20"/>
                <w:szCs w:val="20"/>
              </w:rPr>
            </w:pPr>
            <w:r w:rsidRPr="000B7ACC">
              <w:rPr>
                <w:i/>
                <w:sz w:val="20"/>
                <w:szCs w:val="20"/>
              </w:rPr>
              <w:t>*Please see POC use cases section below for details.</w:t>
            </w:r>
          </w:p>
          <w:p w14:paraId="396E57A7" w14:textId="63FED624" w:rsidR="00C438D2" w:rsidRDefault="00C438D2" w:rsidP="00C438D2"/>
        </w:tc>
      </w:tr>
      <w:tr w:rsidR="00922297" w14:paraId="089618D7" w14:textId="77777777" w:rsidTr="00922297">
        <w:tc>
          <w:tcPr>
            <w:tcW w:w="625" w:type="dxa"/>
          </w:tcPr>
          <w:p w14:paraId="756E73E4" w14:textId="77777777" w:rsidR="00922297" w:rsidRDefault="00922297" w:rsidP="00922297">
            <w:pPr>
              <w:jc w:val="center"/>
            </w:pPr>
          </w:p>
          <w:p w14:paraId="0F280E95" w14:textId="03A59786" w:rsidR="00275A90" w:rsidRDefault="00275A90" w:rsidP="00922297">
            <w:pPr>
              <w:jc w:val="center"/>
            </w:pPr>
            <w:r>
              <w:t>5.</w:t>
            </w:r>
          </w:p>
        </w:tc>
        <w:tc>
          <w:tcPr>
            <w:tcW w:w="4230" w:type="dxa"/>
          </w:tcPr>
          <w:p w14:paraId="1AD39F93" w14:textId="77777777" w:rsidR="00922297" w:rsidRDefault="00922297" w:rsidP="00922297">
            <w:pPr>
              <w:jc w:val="both"/>
            </w:pPr>
          </w:p>
          <w:p w14:paraId="6DE5D6F8" w14:textId="77777777" w:rsidR="00275A90" w:rsidRDefault="00275A90" w:rsidP="00922297">
            <w:pPr>
              <w:jc w:val="both"/>
            </w:pPr>
            <w:r>
              <w:t>Do we need to use Oracle’s systems and infrastructure?</w:t>
            </w:r>
          </w:p>
          <w:p w14:paraId="0EC41AB0" w14:textId="0250B96A" w:rsidR="00275A90" w:rsidRDefault="00275A90" w:rsidP="00922297">
            <w:pPr>
              <w:jc w:val="both"/>
            </w:pPr>
          </w:p>
        </w:tc>
        <w:tc>
          <w:tcPr>
            <w:tcW w:w="4495" w:type="dxa"/>
          </w:tcPr>
          <w:p w14:paraId="10233E52" w14:textId="77777777" w:rsidR="00922297" w:rsidRDefault="00922297" w:rsidP="00922297">
            <w:pPr>
              <w:jc w:val="both"/>
            </w:pPr>
          </w:p>
          <w:p w14:paraId="14407A07" w14:textId="354500E9" w:rsidR="00275A90" w:rsidRDefault="00275A90" w:rsidP="002D3774">
            <w:pPr>
              <w:pStyle w:val="ListParagraph"/>
              <w:numPr>
                <w:ilvl w:val="0"/>
                <w:numId w:val="36"/>
              </w:numPr>
            </w:pPr>
            <w:r>
              <w:t>Yes. We will be using Oracle Cloud Infrastructure (OCI) PaaS services</w:t>
            </w:r>
          </w:p>
        </w:tc>
      </w:tr>
      <w:tr w:rsidR="00922297" w14:paraId="1A65A1DD" w14:textId="77777777" w:rsidTr="00922297">
        <w:tc>
          <w:tcPr>
            <w:tcW w:w="625" w:type="dxa"/>
          </w:tcPr>
          <w:p w14:paraId="58064BF9" w14:textId="77777777" w:rsidR="00922297" w:rsidRDefault="00922297" w:rsidP="00922297">
            <w:pPr>
              <w:jc w:val="center"/>
            </w:pPr>
          </w:p>
          <w:p w14:paraId="12D156BE" w14:textId="77777777" w:rsidR="00AF1D0B" w:rsidRDefault="00AF1D0B" w:rsidP="00922297">
            <w:pPr>
              <w:jc w:val="center"/>
            </w:pPr>
          </w:p>
          <w:p w14:paraId="0143AFB9" w14:textId="6E3F70A5" w:rsidR="00275A90" w:rsidRDefault="00275A90" w:rsidP="00922297">
            <w:pPr>
              <w:jc w:val="center"/>
            </w:pPr>
            <w:r>
              <w:t>6.</w:t>
            </w:r>
          </w:p>
        </w:tc>
        <w:tc>
          <w:tcPr>
            <w:tcW w:w="4230" w:type="dxa"/>
          </w:tcPr>
          <w:p w14:paraId="266EB723" w14:textId="77777777" w:rsidR="00922297" w:rsidRDefault="00922297" w:rsidP="00922297">
            <w:pPr>
              <w:jc w:val="both"/>
            </w:pPr>
          </w:p>
          <w:p w14:paraId="5804AAB7" w14:textId="77777777" w:rsidR="00450792" w:rsidRDefault="00450792" w:rsidP="00AF1D0B">
            <w:pPr>
              <w:jc w:val="both"/>
            </w:pPr>
          </w:p>
          <w:p w14:paraId="1CB907DA" w14:textId="4608BB42" w:rsidR="00275A90" w:rsidRDefault="00AF1D0B" w:rsidP="00AF1D0B">
            <w:pPr>
              <w:jc w:val="both"/>
            </w:pPr>
            <w:r>
              <w:t xml:space="preserve">Does the customer require sample data or Will they use their own Data? </w:t>
            </w:r>
          </w:p>
        </w:tc>
        <w:tc>
          <w:tcPr>
            <w:tcW w:w="4495" w:type="dxa"/>
          </w:tcPr>
          <w:p w14:paraId="75CFAAE4" w14:textId="77777777" w:rsidR="00922297" w:rsidRDefault="00922297" w:rsidP="00922297">
            <w:pPr>
              <w:jc w:val="both"/>
            </w:pPr>
          </w:p>
          <w:p w14:paraId="4568045B" w14:textId="188513D7" w:rsidR="00AF1D0B" w:rsidRDefault="00AF1D0B" w:rsidP="002D3774">
            <w:pPr>
              <w:pStyle w:val="ListParagraph"/>
              <w:numPr>
                <w:ilvl w:val="0"/>
                <w:numId w:val="36"/>
              </w:numPr>
            </w:pPr>
            <w:r>
              <w:t>MGM plan to use their own data to support the POC.</w:t>
            </w:r>
          </w:p>
          <w:p w14:paraId="41AA2108" w14:textId="77777777" w:rsidR="00AF1D0B" w:rsidRDefault="00AF1D0B" w:rsidP="002D3774">
            <w:pPr>
              <w:pStyle w:val="ListParagraph"/>
              <w:numPr>
                <w:ilvl w:val="0"/>
                <w:numId w:val="36"/>
              </w:numPr>
            </w:pPr>
            <w:r>
              <w:t>At the end of successful POC, MGM certifiably plans to use/adopt the OCI environment as their PRODUCTION environment.</w:t>
            </w:r>
          </w:p>
          <w:p w14:paraId="016F0028" w14:textId="577514C1" w:rsidR="00AF1D0B" w:rsidRDefault="00AF1D0B" w:rsidP="00AF1D0B">
            <w:pPr>
              <w:jc w:val="both"/>
            </w:pPr>
          </w:p>
        </w:tc>
      </w:tr>
      <w:tr w:rsidR="00922297" w14:paraId="140CA288" w14:textId="77777777" w:rsidTr="00922297">
        <w:tc>
          <w:tcPr>
            <w:tcW w:w="625" w:type="dxa"/>
          </w:tcPr>
          <w:p w14:paraId="51C5C490" w14:textId="77777777" w:rsidR="00922297" w:rsidRDefault="00922297" w:rsidP="00922297">
            <w:pPr>
              <w:jc w:val="center"/>
            </w:pPr>
          </w:p>
          <w:p w14:paraId="47FF5445" w14:textId="076D269E" w:rsidR="00AF1D0B" w:rsidRDefault="00AF1D0B" w:rsidP="00922297">
            <w:pPr>
              <w:jc w:val="center"/>
            </w:pPr>
            <w:r>
              <w:t>7.</w:t>
            </w:r>
          </w:p>
        </w:tc>
        <w:tc>
          <w:tcPr>
            <w:tcW w:w="4230" w:type="dxa"/>
          </w:tcPr>
          <w:p w14:paraId="1FBCAC30" w14:textId="77777777" w:rsidR="00922297" w:rsidRDefault="00922297" w:rsidP="00922297">
            <w:pPr>
              <w:jc w:val="both"/>
            </w:pPr>
          </w:p>
          <w:p w14:paraId="1BD081A6" w14:textId="77777777" w:rsidR="00AF1D0B" w:rsidRDefault="00AF1D0B" w:rsidP="00922297">
            <w:pPr>
              <w:jc w:val="both"/>
            </w:pPr>
            <w:r>
              <w:t>How do they do it today?</w:t>
            </w:r>
          </w:p>
          <w:p w14:paraId="2950B282" w14:textId="596F3EFE" w:rsidR="00AF1D0B" w:rsidRDefault="00AF1D0B" w:rsidP="00922297">
            <w:pPr>
              <w:jc w:val="both"/>
            </w:pPr>
          </w:p>
        </w:tc>
        <w:tc>
          <w:tcPr>
            <w:tcW w:w="4495" w:type="dxa"/>
          </w:tcPr>
          <w:p w14:paraId="1241C710" w14:textId="77777777" w:rsidR="00922297" w:rsidRDefault="00922297" w:rsidP="00922297">
            <w:pPr>
              <w:jc w:val="both"/>
            </w:pPr>
          </w:p>
          <w:p w14:paraId="0E49CF79" w14:textId="3474321E" w:rsidR="00AF1D0B" w:rsidRDefault="002D3774" w:rsidP="002D3774">
            <w:pPr>
              <w:pStyle w:val="ListParagraph"/>
              <w:numPr>
                <w:ilvl w:val="0"/>
                <w:numId w:val="37"/>
              </w:numPr>
            </w:pPr>
            <w:r>
              <w:t xml:space="preserve">MGM </w:t>
            </w:r>
            <w:r w:rsidR="00AF1D0B">
              <w:t>do</w:t>
            </w:r>
            <w:r>
              <w:t>es</w:t>
            </w:r>
            <w:r w:rsidR="00AF1D0B">
              <w:t xml:space="preserve"> not have a </w:t>
            </w:r>
            <w:r>
              <w:t xml:space="preserve">comprehensive end-to-end </w:t>
            </w:r>
            <w:r w:rsidR="00AF1D0B">
              <w:t>solution today.</w:t>
            </w:r>
          </w:p>
          <w:p w14:paraId="1660523A" w14:textId="0820C1A5" w:rsidR="002D3774" w:rsidRDefault="002D3774" w:rsidP="002D3774">
            <w:pPr>
              <w:pStyle w:val="ListParagraph"/>
              <w:numPr>
                <w:ilvl w:val="0"/>
                <w:numId w:val="37"/>
              </w:numPr>
            </w:pPr>
            <w:r>
              <w:t>They are using UCC credits towards these use case from a recent Apps (ERP Cloud) deal.</w:t>
            </w:r>
          </w:p>
          <w:p w14:paraId="17DCFE18" w14:textId="4E746CCE" w:rsidR="00AF1D0B" w:rsidRDefault="00AF1D0B" w:rsidP="00AF1D0B">
            <w:pPr>
              <w:jc w:val="both"/>
            </w:pPr>
          </w:p>
        </w:tc>
      </w:tr>
      <w:tr w:rsidR="00AF1D0B" w14:paraId="13835A5C" w14:textId="77777777" w:rsidTr="00922297">
        <w:tc>
          <w:tcPr>
            <w:tcW w:w="625" w:type="dxa"/>
          </w:tcPr>
          <w:p w14:paraId="256C667F" w14:textId="77777777" w:rsidR="00AF1D0B" w:rsidRDefault="00AF1D0B" w:rsidP="00922297">
            <w:pPr>
              <w:jc w:val="center"/>
            </w:pPr>
          </w:p>
          <w:p w14:paraId="5966F555" w14:textId="304D23E6" w:rsidR="00AF1D0B" w:rsidRDefault="00AF1D0B" w:rsidP="00922297">
            <w:pPr>
              <w:jc w:val="center"/>
            </w:pPr>
            <w:r>
              <w:t>8.</w:t>
            </w:r>
          </w:p>
        </w:tc>
        <w:tc>
          <w:tcPr>
            <w:tcW w:w="4230" w:type="dxa"/>
          </w:tcPr>
          <w:p w14:paraId="7C808A75" w14:textId="77777777" w:rsidR="00AF1D0B" w:rsidRDefault="00AF1D0B" w:rsidP="00922297">
            <w:pPr>
              <w:jc w:val="both"/>
            </w:pPr>
          </w:p>
          <w:p w14:paraId="581EC322" w14:textId="77777777" w:rsidR="00AF1D0B" w:rsidRDefault="00AF1D0B" w:rsidP="00922297">
            <w:pPr>
              <w:jc w:val="both"/>
            </w:pPr>
            <w:r>
              <w:t>What’s the real value we are hoping to achieve?</w:t>
            </w:r>
          </w:p>
          <w:p w14:paraId="5DDEB47D" w14:textId="15CF989F" w:rsidR="00AF1D0B" w:rsidRDefault="00AF1D0B" w:rsidP="00922297">
            <w:pPr>
              <w:jc w:val="both"/>
            </w:pPr>
          </w:p>
        </w:tc>
        <w:tc>
          <w:tcPr>
            <w:tcW w:w="4495" w:type="dxa"/>
          </w:tcPr>
          <w:p w14:paraId="52ACECB1" w14:textId="77777777" w:rsidR="00AF1D0B" w:rsidRDefault="00AF1D0B" w:rsidP="00922297">
            <w:pPr>
              <w:jc w:val="both"/>
            </w:pPr>
          </w:p>
          <w:p w14:paraId="6BAAF187" w14:textId="77777777" w:rsidR="00AF1D0B" w:rsidRDefault="00450792" w:rsidP="002D3774">
            <w:pPr>
              <w:pStyle w:val="ListParagraph"/>
              <w:numPr>
                <w:ilvl w:val="0"/>
                <w:numId w:val="37"/>
              </w:numPr>
            </w:pPr>
            <w:r>
              <w:t>OCI as the “default” cloud infrastructure for MGM internal business processes.</w:t>
            </w:r>
          </w:p>
          <w:p w14:paraId="0244B4F2" w14:textId="77777777" w:rsidR="00450792" w:rsidRDefault="00450792" w:rsidP="002D3774">
            <w:pPr>
              <w:pStyle w:val="ListParagraph"/>
              <w:numPr>
                <w:ilvl w:val="0"/>
                <w:numId w:val="37"/>
              </w:numPr>
            </w:pPr>
            <w:r>
              <w:t>OCI PaaS as the platform of choice for internal and vendor business processes</w:t>
            </w:r>
          </w:p>
          <w:p w14:paraId="5304D958" w14:textId="77777777" w:rsidR="00450792" w:rsidRDefault="00450792" w:rsidP="002D3774">
            <w:pPr>
              <w:pStyle w:val="ListParagraph"/>
              <w:numPr>
                <w:ilvl w:val="0"/>
                <w:numId w:val="37"/>
              </w:numPr>
            </w:pPr>
            <w:r>
              <w:t>Oracle SaaS continues to be Enterprise Application platform for MGM.</w:t>
            </w:r>
          </w:p>
          <w:p w14:paraId="43BF0DDB" w14:textId="33E0D2D4" w:rsidR="00450792" w:rsidRDefault="00450792" w:rsidP="00450792">
            <w:pPr>
              <w:jc w:val="both"/>
            </w:pPr>
          </w:p>
        </w:tc>
      </w:tr>
      <w:tr w:rsidR="00AF1D0B" w14:paraId="3E7E6014" w14:textId="77777777" w:rsidTr="00922297">
        <w:tc>
          <w:tcPr>
            <w:tcW w:w="625" w:type="dxa"/>
          </w:tcPr>
          <w:p w14:paraId="7EF93F14" w14:textId="77777777" w:rsidR="00AF1D0B" w:rsidRDefault="00AF1D0B" w:rsidP="00922297">
            <w:pPr>
              <w:jc w:val="center"/>
            </w:pPr>
          </w:p>
          <w:p w14:paraId="438D9487" w14:textId="072BB9B1" w:rsidR="00AF1D0B" w:rsidRDefault="00AF1D0B" w:rsidP="00922297">
            <w:pPr>
              <w:jc w:val="center"/>
            </w:pPr>
            <w:r>
              <w:t>9.</w:t>
            </w:r>
          </w:p>
        </w:tc>
        <w:tc>
          <w:tcPr>
            <w:tcW w:w="4230" w:type="dxa"/>
          </w:tcPr>
          <w:p w14:paraId="391D4D3C" w14:textId="77777777" w:rsidR="00AF1D0B" w:rsidRDefault="00AF1D0B" w:rsidP="00922297">
            <w:pPr>
              <w:jc w:val="both"/>
            </w:pPr>
          </w:p>
          <w:p w14:paraId="2E4D654A" w14:textId="77777777" w:rsidR="00AF1D0B" w:rsidRDefault="00AF1D0B" w:rsidP="00922297">
            <w:pPr>
              <w:jc w:val="both"/>
            </w:pPr>
            <w:r>
              <w:t>Who will maintain the environment, use cases, data and processes after the POC?</w:t>
            </w:r>
          </w:p>
          <w:p w14:paraId="2987C9F9" w14:textId="5F50800D" w:rsidR="00AF1D0B" w:rsidRDefault="00AF1D0B" w:rsidP="00922297">
            <w:pPr>
              <w:jc w:val="both"/>
            </w:pPr>
          </w:p>
        </w:tc>
        <w:tc>
          <w:tcPr>
            <w:tcW w:w="4495" w:type="dxa"/>
          </w:tcPr>
          <w:p w14:paraId="584079DB" w14:textId="77777777" w:rsidR="00AF1D0B" w:rsidRDefault="00AF1D0B" w:rsidP="00922297">
            <w:pPr>
              <w:jc w:val="both"/>
            </w:pPr>
          </w:p>
          <w:p w14:paraId="7C604BC5" w14:textId="77777777" w:rsidR="00AF1D0B" w:rsidRDefault="00450792" w:rsidP="002D3774">
            <w:pPr>
              <w:pStyle w:val="ListParagraph"/>
              <w:numPr>
                <w:ilvl w:val="0"/>
                <w:numId w:val="38"/>
              </w:numPr>
            </w:pPr>
            <w:r>
              <w:t>MGM Team</w:t>
            </w:r>
          </w:p>
          <w:p w14:paraId="5209E038" w14:textId="77777777" w:rsidR="00450792" w:rsidRDefault="00450792" w:rsidP="002D3774">
            <w:pPr>
              <w:pStyle w:val="ListParagraph"/>
              <w:numPr>
                <w:ilvl w:val="0"/>
                <w:numId w:val="38"/>
              </w:numPr>
            </w:pPr>
            <w:r>
              <w:t>PwC (Pricewaterhouse Coopers) Team (onsite and remote)</w:t>
            </w:r>
          </w:p>
          <w:p w14:paraId="595C2182" w14:textId="37945EE9" w:rsidR="00450792" w:rsidRDefault="00450792" w:rsidP="00450792">
            <w:pPr>
              <w:jc w:val="both"/>
            </w:pPr>
          </w:p>
        </w:tc>
      </w:tr>
      <w:tr w:rsidR="00AF1D0B" w14:paraId="0B93786D" w14:textId="77777777" w:rsidTr="00922297">
        <w:tc>
          <w:tcPr>
            <w:tcW w:w="625" w:type="dxa"/>
          </w:tcPr>
          <w:p w14:paraId="32977794" w14:textId="77777777" w:rsidR="00AF1D0B" w:rsidRDefault="00AF1D0B" w:rsidP="00922297">
            <w:pPr>
              <w:jc w:val="center"/>
            </w:pPr>
          </w:p>
        </w:tc>
        <w:tc>
          <w:tcPr>
            <w:tcW w:w="4230" w:type="dxa"/>
          </w:tcPr>
          <w:p w14:paraId="77D34A3F" w14:textId="77777777" w:rsidR="00AF1D0B" w:rsidRDefault="00AF1D0B" w:rsidP="00922297">
            <w:pPr>
              <w:jc w:val="both"/>
            </w:pPr>
          </w:p>
        </w:tc>
        <w:tc>
          <w:tcPr>
            <w:tcW w:w="4495" w:type="dxa"/>
          </w:tcPr>
          <w:p w14:paraId="7FD438C9" w14:textId="77777777" w:rsidR="00AF1D0B" w:rsidRDefault="00AF1D0B" w:rsidP="00922297">
            <w:pPr>
              <w:jc w:val="both"/>
            </w:pPr>
          </w:p>
        </w:tc>
      </w:tr>
    </w:tbl>
    <w:p w14:paraId="3DA56639" w14:textId="77777777" w:rsidR="00922297" w:rsidRDefault="00922297" w:rsidP="00922297">
      <w:pPr>
        <w:jc w:val="both"/>
      </w:pPr>
    </w:p>
    <w:p w14:paraId="09CA4BF7" w14:textId="1895085B" w:rsidR="00612B6F" w:rsidRDefault="00F7292C" w:rsidP="00796AEB">
      <w:pPr>
        <w:pStyle w:val="Heading1"/>
        <w:numPr>
          <w:ilvl w:val="0"/>
          <w:numId w:val="3"/>
        </w:numPr>
      </w:pPr>
      <w:r>
        <w:t xml:space="preserve">Proof </w:t>
      </w:r>
      <w:r w:rsidR="00D20455">
        <w:t>o</w:t>
      </w:r>
      <w:r>
        <w:t xml:space="preserve">f Concept </w:t>
      </w:r>
      <w:r w:rsidR="00045F29">
        <w:t xml:space="preserve">(POC) </w:t>
      </w:r>
      <w:r w:rsidR="00482AE3">
        <w:t>Use Case</w:t>
      </w:r>
      <w:r w:rsidR="00612B6F">
        <w:t>s</w:t>
      </w:r>
      <w:bookmarkEnd w:id="6"/>
    </w:p>
    <w:p w14:paraId="286E4BF3" w14:textId="2A64684B" w:rsidR="00151CCD" w:rsidRDefault="00151CCD" w:rsidP="00151CCD"/>
    <w:p w14:paraId="6901D5DE" w14:textId="2D7D6E3B" w:rsidR="00151CCD" w:rsidRPr="00151CCD" w:rsidRDefault="00F9031E" w:rsidP="00151CCD">
      <w:r>
        <w:t xml:space="preserve">The Oracle PaaS service </w:t>
      </w:r>
      <w:r w:rsidR="00920E15">
        <w:t xml:space="preserve">as a primary candidate for evaluation would be a combination of </w:t>
      </w:r>
      <w:r>
        <w:t>Database Cloud Service (DBCS) and Autonomous Database (ATP)</w:t>
      </w:r>
      <w:r w:rsidR="00920E15">
        <w:t xml:space="preserve"> for (one or all) the following use cases</w:t>
      </w:r>
      <w:r>
        <w:t>.</w:t>
      </w:r>
    </w:p>
    <w:p w14:paraId="18C02F41" w14:textId="5122487D" w:rsidR="009558C7" w:rsidRDefault="00A44EB2" w:rsidP="00612B6F">
      <w:pPr>
        <w:pStyle w:val="Heading1"/>
        <w:numPr>
          <w:ilvl w:val="1"/>
          <w:numId w:val="3"/>
        </w:numPr>
      </w:pPr>
      <w:bookmarkStart w:id="7" w:name="_Toc504034849"/>
      <w:r>
        <w:t>Supplier Licensing</w:t>
      </w:r>
      <w:bookmarkEnd w:id="7"/>
    </w:p>
    <w:p w14:paraId="5E8BDCCB" w14:textId="77777777" w:rsidR="000151CA" w:rsidRDefault="000151CA" w:rsidP="00A44EB2">
      <w:pPr>
        <w:jc w:val="both"/>
      </w:pPr>
    </w:p>
    <w:p w14:paraId="0C079CB1" w14:textId="69C8FC81" w:rsidR="003B0AB8" w:rsidRPr="003B0AB8" w:rsidRDefault="00A44EB2" w:rsidP="00A44EB2">
      <w:pPr>
        <w:jc w:val="both"/>
      </w:pPr>
      <w:r>
        <w:t>MGM license management application handling multitude of vendors. The goal is to identify and allocate a vendor with a maximum purchase capacity and highlight/notify if any invoices exceed the allocated purchase limits set by MGM Procurement.</w:t>
      </w:r>
    </w:p>
    <w:p w14:paraId="07F1A2E3" w14:textId="3CE542D0" w:rsidR="00312EF4" w:rsidRDefault="00082133" w:rsidP="00082133">
      <w:pPr>
        <w:pStyle w:val="Heading1"/>
        <w:numPr>
          <w:ilvl w:val="1"/>
          <w:numId w:val="3"/>
        </w:numPr>
      </w:pPr>
      <w:bookmarkStart w:id="8" w:name="_Toc504034850"/>
      <w:r>
        <w:t>Wired Applications</w:t>
      </w:r>
    </w:p>
    <w:p w14:paraId="09D33C75" w14:textId="77777777" w:rsidR="000151CA" w:rsidRDefault="000151CA" w:rsidP="00082133">
      <w:pPr>
        <w:jc w:val="both"/>
      </w:pPr>
    </w:p>
    <w:p w14:paraId="689E7A9D" w14:textId="36A24238" w:rsidR="00082133" w:rsidRDefault="00082133" w:rsidP="00082133">
      <w:pPr>
        <w:jc w:val="both"/>
      </w:pPr>
      <w:r>
        <w:t>MGM application that captures details of users/players who win cash prizes above a certain allowed limit to go to the Approval Manager directly via pre-defined internal processes and initiate payment via ERP Cloud.</w:t>
      </w:r>
    </w:p>
    <w:p w14:paraId="04A7F894" w14:textId="3F4C8908" w:rsidR="009558C7" w:rsidRDefault="00DA7F70" w:rsidP="00DA7F70">
      <w:pPr>
        <w:pStyle w:val="Heading1"/>
        <w:numPr>
          <w:ilvl w:val="1"/>
          <w:numId w:val="3"/>
        </w:numPr>
      </w:pPr>
      <w:r>
        <w:t>Translator Solution</w:t>
      </w:r>
      <w:bookmarkEnd w:id="8"/>
    </w:p>
    <w:p w14:paraId="4B0E791B" w14:textId="0548F10E" w:rsidR="003B0AB8" w:rsidRDefault="003B0AB8" w:rsidP="00DA7F70">
      <w:pPr>
        <w:jc w:val="both"/>
      </w:pPr>
    </w:p>
    <w:p w14:paraId="6F5F8888" w14:textId="55A768FB" w:rsidR="00DA7F70" w:rsidRDefault="00DA7F70" w:rsidP="00DA7F70">
      <w:pPr>
        <w:jc w:val="both"/>
      </w:pPr>
      <w:r>
        <w:t>Modernization and co-existence of MGM's legacy application that feed data into ERP Cloud directly.</w:t>
      </w:r>
    </w:p>
    <w:p w14:paraId="086FEA25" w14:textId="5D6317EF" w:rsidR="00DA7F70" w:rsidRDefault="00DA7F70" w:rsidP="00DA7F70"/>
    <w:p w14:paraId="0CB94F3A" w14:textId="77777777" w:rsidR="003C7D54" w:rsidRDefault="003C7D54" w:rsidP="003C7D54">
      <w:pPr>
        <w:pStyle w:val="Heading1"/>
        <w:numPr>
          <w:ilvl w:val="0"/>
          <w:numId w:val="3"/>
        </w:numPr>
      </w:pPr>
      <w:r>
        <w:lastRenderedPageBreak/>
        <w:t>Proof of Concept Team</w:t>
      </w:r>
    </w:p>
    <w:p w14:paraId="60E4F08B" w14:textId="77777777" w:rsidR="000151CA" w:rsidRDefault="000151CA" w:rsidP="003C7D54"/>
    <w:p w14:paraId="5E2F14E8" w14:textId="07C30D61" w:rsidR="003C7D54" w:rsidRDefault="003C7D54" w:rsidP="003C7D54">
      <w:r>
        <w:t xml:space="preserve">The Proof of Concept use cases will be implemented by onsite PwC Team in collaboration with MGM’s development team. </w:t>
      </w:r>
    </w:p>
    <w:p w14:paraId="4F41F60D" w14:textId="77777777" w:rsidR="003C7D54" w:rsidRDefault="003C7D54" w:rsidP="003C7D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C7D54" w14:paraId="69BC94D1" w14:textId="77777777" w:rsidTr="00435F8E">
        <w:tc>
          <w:tcPr>
            <w:tcW w:w="4675" w:type="dxa"/>
          </w:tcPr>
          <w:p w14:paraId="30892E89" w14:textId="77777777" w:rsidR="003C7D54" w:rsidRDefault="003C7D54" w:rsidP="00435F8E"/>
          <w:p w14:paraId="19CB0122" w14:textId="77777777" w:rsidR="003C7D54" w:rsidRDefault="003C7D54" w:rsidP="00435F8E">
            <w:r>
              <w:t>Oracle</w:t>
            </w:r>
          </w:p>
        </w:tc>
        <w:tc>
          <w:tcPr>
            <w:tcW w:w="4675" w:type="dxa"/>
          </w:tcPr>
          <w:p w14:paraId="1BF73425" w14:textId="77777777" w:rsidR="003C7D54" w:rsidRDefault="003C7D54" w:rsidP="00435F8E">
            <w:pPr>
              <w:pStyle w:val="ListParagraph"/>
              <w:numPr>
                <w:ilvl w:val="0"/>
                <w:numId w:val="29"/>
              </w:numPr>
            </w:pPr>
            <w:r>
              <w:t>Shukie Ganguly (ECA)</w:t>
            </w:r>
          </w:p>
          <w:p w14:paraId="75982B28" w14:textId="77777777" w:rsidR="003C7D54" w:rsidRDefault="003C7D54" w:rsidP="00435F8E">
            <w:pPr>
              <w:pStyle w:val="ListParagraph"/>
              <w:numPr>
                <w:ilvl w:val="0"/>
                <w:numId w:val="29"/>
              </w:numPr>
            </w:pPr>
            <w:r>
              <w:t>Danen Bateman (Account Manager)</w:t>
            </w:r>
          </w:p>
        </w:tc>
      </w:tr>
      <w:tr w:rsidR="003C7D54" w14:paraId="12816A7C" w14:textId="77777777" w:rsidTr="00435F8E">
        <w:tc>
          <w:tcPr>
            <w:tcW w:w="4675" w:type="dxa"/>
          </w:tcPr>
          <w:p w14:paraId="02A5F65D" w14:textId="77777777" w:rsidR="003C7D54" w:rsidRDefault="003C7D54" w:rsidP="00435F8E"/>
          <w:p w14:paraId="33E8F87F" w14:textId="77777777" w:rsidR="003C7D54" w:rsidRDefault="003C7D54" w:rsidP="00435F8E">
            <w:r>
              <w:t>MGM</w:t>
            </w:r>
          </w:p>
        </w:tc>
        <w:tc>
          <w:tcPr>
            <w:tcW w:w="4675" w:type="dxa"/>
          </w:tcPr>
          <w:p w14:paraId="0B91E826" w14:textId="77777777" w:rsidR="003C7D54" w:rsidRDefault="003C7D54" w:rsidP="00435F8E">
            <w:pPr>
              <w:pStyle w:val="ListParagraph"/>
              <w:numPr>
                <w:ilvl w:val="0"/>
                <w:numId w:val="30"/>
              </w:numPr>
            </w:pPr>
            <w:r>
              <w:t>Vanessa Bui, VP</w:t>
            </w:r>
          </w:p>
          <w:p w14:paraId="7783B346" w14:textId="77777777" w:rsidR="003C7D54" w:rsidRDefault="003C7D54" w:rsidP="00435F8E">
            <w:pPr>
              <w:pStyle w:val="ListParagraph"/>
              <w:numPr>
                <w:ilvl w:val="0"/>
                <w:numId w:val="30"/>
              </w:numPr>
            </w:pPr>
            <w:r>
              <w:t>Siva Kopiveri</w:t>
            </w:r>
          </w:p>
        </w:tc>
      </w:tr>
      <w:tr w:rsidR="003C7D54" w14:paraId="3E9F2F5F" w14:textId="77777777" w:rsidTr="00435F8E">
        <w:tc>
          <w:tcPr>
            <w:tcW w:w="4675" w:type="dxa"/>
          </w:tcPr>
          <w:p w14:paraId="09DED9D0" w14:textId="77777777" w:rsidR="003C7D54" w:rsidRDefault="003C7D54" w:rsidP="00435F8E"/>
          <w:p w14:paraId="4556ADF8" w14:textId="77777777" w:rsidR="003C7D54" w:rsidRDefault="003C7D54" w:rsidP="00435F8E">
            <w:r>
              <w:t>Pricewaterhouse Coopers (PwC)</w:t>
            </w:r>
          </w:p>
        </w:tc>
        <w:tc>
          <w:tcPr>
            <w:tcW w:w="4675" w:type="dxa"/>
          </w:tcPr>
          <w:p w14:paraId="295CDFC8" w14:textId="77777777" w:rsidR="003C7D54" w:rsidRDefault="003C7D54" w:rsidP="00435F8E">
            <w:pPr>
              <w:pStyle w:val="ListParagraph"/>
              <w:numPr>
                <w:ilvl w:val="0"/>
                <w:numId w:val="31"/>
              </w:numPr>
            </w:pPr>
            <w:r>
              <w:t>Vasudeva Murthy, Manager</w:t>
            </w:r>
          </w:p>
          <w:p w14:paraId="6B01C994" w14:textId="77777777" w:rsidR="003C7D54" w:rsidRDefault="003C7D54" w:rsidP="00435F8E">
            <w:pPr>
              <w:pStyle w:val="ListParagraph"/>
              <w:numPr>
                <w:ilvl w:val="0"/>
                <w:numId w:val="31"/>
              </w:numPr>
            </w:pPr>
            <w:r>
              <w:t>PwC Team onsite at MGM</w:t>
            </w:r>
          </w:p>
        </w:tc>
      </w:tr>
    </w:tbl>
    <w:p w14:paraId="7BE92C0B" w14:textId="50E0622F" w:rsidR="003C7D54" w:rsidRDefault="003C7D54" w:rsidP="000151CA"/>
    <w:p w14:paraId="4B237DA4" w14:textId="2B97CAE1" w:rsidR="000151CA" w:rsidRDefault="000151CA" w:rsidP="000151CA"/>
    <w:p w14:paraId="794EEC75" w14:textId="77777777" w:rsidR="000151CA" w:rsidRPr="00CB22BF" w:rsidRDefault="000151CA" w:rsidP="000151CA"/>
    <w:sectPr w:rsidR="000151CA" w:rsidRPr="00CB22BF" w:rsidSect="00C222D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2C35E" w14:textId="77777777" w:rsidR="00650BD6" w:rsidRDefault="00650BD6" w:rsidP="00F02740">
      <w:r>
        <w:separator/>
      </w:r>
    </w:p>
  </w:endnote>
  <w:endnote w:type="continuationSeparator" w:id="0">
    <w:p w14:paraId="16DEDE76" w14:textId="77777777" w:rsidR="00650BD6" w:rsidRDefault="00650BD6" w:rsidP="00F0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6E49F" w14:textId="657C1B02" w:rsidR="009C57B7" w:rsidRDefault="009C57B7">
    <w:pPr>
      <w:pStyle w:val="Footer"/>
    </w:pPr>
    <w:r>
      <w:t>Oracle</w:t>
    </w:r>
    <w:r w:rsidR="005E77B1">
      <w:t xml:space="preserve"> Software Corporation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8B134" w14:textId="77777777" w:rsidR="00650BD6" w:rsidRDefault="00650BD6" w:rsidP="00F02740">
      <w:r>
        <w:separator/>
      </w:r>
    </w:p>
  </w:footnote>
  <w:footnote w:type="continuationSeparator" w:id="0">
    <w:p w14:paraId="22E815DD" w14:textId="77777777" w:rsidR="00650BD6" w:rsidRDefault="00650BD6" w:rsidP="00F02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0238" w14:textId="233B94BB" w:rsidR="00F02740" w:rsidRDefault="008D0559">
    <w:pPr>
      <w:pStyle w:val="Header"/>
    </w:pPr>
    <w:r>
      <w:t>MGM Resorts</w:t>
    </w:r>
    <w:r w:rsidR="003505D6">
      <w:t xml:space="preserve"> –</w:t>
    </w:r>
    <w:r w:rsidR="00735946">
      <w:t xml:space="preserve"> </w:t>
    </w:r>
    <w:r>
      <w:t xml:space="preserve">OCI </w:t>
    </w:r>
    <w:r w:rsidR="00735946">
      <w:t>Evaluation POC Success Criteria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BC0"/>
    <w:multiLevelType w:val="hybridMultilevel"/>
    <w:tmpl w:val="D68A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275"/>
    <w:multiLevelType w:val="hybridMultilevel"/>
    <w:tmpl w:val="E3AA8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8525B"/>
    <w:multiLevelType w:val="hybridMultilevel"/>
    <w:tmpl w:val="4282C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A5938"/>
    <w:multiLevelType w:val="hybridMultilevel"/>
    <w:tmpl w:val="9AA43638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1F70"/>
    <w:multiLevelType w:val="hybridMultilevel"/>
    <w:tmpl w:val="10AE5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053E1"/>
    <w:multiLevelType w:val="hybridMultilevel"/>
    <w:tmpl w:val="342E4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52699"/>
    <w:multiLevelType w:val="hybridMultilevel"/>
    <w:tmpl w:val="F38E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21BFF"/>
    <w:multiLevelType w:val="hybridMultilevel"/>
    <w:tmpl w:val="59547126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96CFF"/>
    <w:multiLevelType w:val="multilevel"/>
    <w:tmpl w:val="80A849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194C50"/>
    <w:multiLevelType w:val="multilevel"/>
    <w:tmpl w:val="C136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ED615B"/>
    <w:multiLevelType w:val="hybridMultilevel"/>
    <w:tmpl w:val="7AE63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44A42"/>
    <w:multiLevelType w:val="hybridMultilevel"/>
    <w:tmpl w:val="CE8C81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75CD9"/>
    <w:multiLevelType w:val="hybridMultilevel"/>
    <w:tmpl w:val="2A6857C6"/>
    <w:lvl w:ilvl="0" w:tplc="454E50C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266C6"/>
    <w:multiLevelType w:val="hybridMultilevel"/>
    <w:tmpl w:val="98663002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539F8"/>
    <w:multiLevelType w:val="hybridMultilevel"/>
    <w:tmpl w:val="5BCAC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A72DC"/>
    <w:multiLevelType w:val="hybridMultilevel"/>
    <w:tmpl w:val="B88EC07A"/>
    <w:lvl w:ilvl="0" w:tplc="C644C3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5D0C93"/>
    <w:multiLevelType w:val="hybridMultilevel"/>
    <w:tmpl w:val="4C18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A1C58"/>
    <w:multiLevelType w:val="hybridMultilevel"/>
    <w:tmpl w:val="75B64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E1747"/>
    <w:multiLevelType w:val="hybridMultilevel"/>
    <w:tmpl w:val="854634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B0B65"/>
    <w:multiLevelType w:val="multilevel"/>
    <w:tmpl w:val="8CBA6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2864414"/>
    <w:multiLevelType w:val="multilevel"/>
    <w:tmpl w:val="FCB407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6C3EFF"/>
    <w:multiLevelType w:val="hybridMultilevel"/>
    <w:tmpl w:val="09E03E44"/>
    <w:lvl w:ilvl="0" w:tplc="0E6A35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5237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5247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7C22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9C92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5613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5A0D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8A55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889C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5251F"/>
    <w:multiLevelType w:val="hybridMultilevel"/>
    <w:tmpl w:val="21C25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F52C3"/>
    <w:multiLevelType w:val="hybridMultilevel"/>
    <w:tmpl w:val="90DCB7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36C00"/>
    <w:multiLevelType w:val="hybridMultilevel"/>
    <w:tmpl w:val="8060764A"/>
    <w:lvl w:ilvl="0" w:tplc="13DC4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71DE6"/>
    <w:multiLevelType w:val="hybridMultilevel"/>
    <w:tmpl w:val="0FEE8A7E"/>
    <w:lvl w:ilvl="0" w:tplc="C296A15E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6E01"/>
    <w:multiLevelType w:val="hybridMultilevel"/>
    <w:tmpl w:val="C840C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B4042"/>
    <w:multiLevelType w:val="hybridMultilevel"/>
    <w:tmpl w:val="B4C47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04A33"/>
    <w:multiLevelType w:val="hybridMultilevel"/>
    <w:tmpl w:val="A4642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951EC"/>
    <w:multiLevelType w:val="hybridMultilevel"/>
    <w:tmpl w:val="FDE0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CF13A2"/>
    <w:multiLevelType w:val="hybridMultilevel"/>
    <w:tmpl w:val="D7F21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627E4"/>
    <w:multiLevelType w:val="multilevel"/>
    <w:tmpl w:val="127EE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A36A6D"/>
    <w:multiLevelType w:val="hybridMultilevel"/>
    <w:tmpl w:val="E24C307C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1703A"/>
    <w:multiLevelType w:val="multilevel"/>
    <w:tmpl w:val="4CF6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47139E"/>
    <w:multiLevelType w:val="hybridMultilevel"/>
    <w:tmpl w:val="7980A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55141"/>
    <w:multiLevelType w:val="hybridMultilevel"/>
    <w:tmpl w:val="CCAC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C54582"/>
    <w:multiLevelType w:val="hybridMultilevel"/>
    <w:tmpl w:val="3D6CB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00589"/>
    <w:multiLevelType w:val="hybridMultilevel"/>
    <w:tmpl w:val="B06A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87CB3"/>
    <w:multiLevelType w:val="hybridMultilevel"/>
    <w:tmpl w:val="54EE8170"/>
    <w:lvl w:ilvl="0" w:tplc="C644C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8"/>
  </w:num>
  <w:num w:numId="4">
    <w:abstractNumId w:val="18"/>
  </w:num>
  <w:num w:numId="5">
    <w:abstractNumId w:val="38"/>
  </w:num>
  <w:num w:numId="6">
    <w:abstractNumId w:val="13"/>
  </w:num>
  <w:num w:numId="7">
    <w:abstractNumId w:val="7"/>
  </w:num>
  <w:num w:numId="8">
    <w:abstractNumId w:val="2"/>
  </w:num>
  <w:num w:numId="9">
    <w:abstractNumId w:val="15"/>
  </w:num>
  <w:num w:numId="10">
    <w:abstractNumId w:val="3"/>
  </w:num>
  <w:num w:numId="11">
    <w:abstractNumId w:val="20"/>
  </w:num>
  <w:num w:numId="12">
    <w:abstractNumId w:val="19"/>
  </w:num>
  <w:num w:numId="13">
    <w:abstractNumId w:val="33"/>
  </w:num>
  <w:num w:numId="14">
    <w:abstractNumId w:val="31"/>
  </w:num>
  <w:num w:numId="15">
    <w:abstractNumId w:val="9"/>
  </w:num>
  <w:num w:numId="16">
    <w:abstractNumId w:val="34"/>
  </w:num>
  <w:num w:numId="17">
    <w:abstractNumId w:val="1"/>
  </w:num>
  <w:num w:numId="18">
    <w:abstractNumId w:val="23"/>
  </w:num>
  <w:num w:numId="19">
    <w:abstractNumId w:val="11"/>
  </w:num>
  <w:num w:numId="20">
    <w:abstractNumId w:val="21"/>
  </w:num>
  <w:num w:numId="21">
    <w:abstractNumId w:val="22"/>
  </w:num>
  <w:num w:numId="22">
    <w:abstractNumId w:val="10"/>
  </w:num>
  <w:num w:numId="23">
    <w:abstractNumId w:val="28"/>
  </w:num>
  <w:num w:numId="24">
    <w:abstractNumId w:val="4"/>
  </w:num>
  <w:num w:numId="25">
    <w:abstractNumId w:val="26"/>
  </w:num>
  <w:num w:numId="26">
    <w:abstractNumId w:val="37"/>
  </w:num>
  <w:num w:numId="27">
    <w:abstractNumId w:val="36"/>
  </w:num>
  <w:num w:numId="28">
    <w:abstractNumId w:val="25"/>
  </w:num>
  <w:num w:numId="29">
    <w:abstractNumId w:val="14"/>
  </w:num>
  <w:num w:numId="30">
    <w:abstractNumId w:val="35"/>
  </w:num>
  <w:num w:numId="31">
    <w:abstractNumId w:val="27"/>
  </w:num>
  <w:num w:numId="32">
    <w:abstractNumId w:val="6"/>
  </w:num>
  <w:num w:numId="33">
    <w:abstractNumId w:val="30"/>
  </w:num>
  <w:num w:numId="34">
    <w:abstractNumId w:val="5"/>
  </w:num>
  <w:num w:numId="35">
    <w:abstractNumId w:val="29"/>
  </w:num>
  <w:num w:numId="36">
    <w:abstractNumId w:val="17"/>
  </w:num>
  <w:num w:numId="37">
    <w:abstractNumId w:val="0"/>
  </w:num>
  <w:num w:numId="38">
    <w:abstractNumId w:val="16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F1"/>
    <w:rsid w:val="00005861"/>
    <w:rsid w:val="000068F5"/>
    <w:rsid w:val="000151CA"/>
    <w:rsid w:val="0002470C"/>
    <w:rsid w:val="00045F29"/>
    <w:rsid w:val="00046B0F"/>
    <w:rsid w:val="00047797"/>
    <w:rsid w:val="00052BCF"/>
    <w:rsid w:val="00054C36"/>
    <w:rsid w:val="00067BD2"/>
    <w:rsid w:val="00071585"/>
    <w:rsid w:val="00071744"/>
    <w:rsid w:val="00073848"/>
    <w:rsid w:val="00077135"/>
    <w:rsid w:val="00077E98"/>
    <w:rsid w:val="00077F12"/>
    <w:rsid w:val="000810B0"/>
    <w:rsid w:val="00082133"/>
    <w:rsid w:val="00092CD2"/>
    <w:rsid w:val="00092E40"/>
    <w:rsid w:val="000966E8"/>
    <w:rsid w:val="000A49D6"/>
    <w:rsid w:val="000A5633"/>
    <w:rsid w:val="000B7ACC"/>
    <w:rsid w:val="000C0FA9"/>
    <w:rsid w:val="000C7A59"/>
    <w:rsid w:val="000D66CC"/>
    <w:rsid w:val="00102000"/>
    <w:rsid w:val="00102C61"/>
    <w:rsid w:val="00103F00"/>
    <w:rsid w:val="001050AA"/>
    <w:rsid w:val="00114F69"/>
    <w:rsid w:val="001261FD"/>
    <w:rsid w:val="00132B2A"/>
    <w:rsid w:val="00133BA7"/>
    <w:rsid w:val="00137841"/>
    <w:rsid w:val="00140669"/>
    <w:rsid w:val="00151CCD"/>
    <w:rsid w:val="00157EB6"/>
    <w:rsid w:val="00162D92"/>
    <w:rsid w:val="00171D78"/>
    <w:rsid w:val="001940B1"/>
    <w:rsid w:val="00197492"/>
    <w:rsid w:val="001A7368"/>
    <w:rsid w:val="001B1693"/>
    <w:rsid w:val="001B51CF"/>
    <w:rsid w:val="001C242A"/>
    <w:rsid w:val="001C2634"/>
    <w:rsid w:val="001C43FE"/>
    <w:rsid w:val="001E3360"/>
    <w:rsid w:val="0020402C"/>
    <w:rsid w:val="00206459"/>
    <w:rsid w:val="00217F11"/>
    <w:rsid w:val="00221C64"/>
    <w:rsid w:val="002258A4"/>
    <w:rsid w:val="002308B0"/>
    <w:rsid w:val="002349FF"/>
    <w:rsid w:val="002356D2"/>
    <w:rsid w:val="00241932"/>
    <w:rsid w:val="002434A0"/>
    <w:rsid w:val="00255246"/>
    <w:rsid w:val="0027326A"/>
    <w:rsid w:val="002757C0"/>
    <w:rsid w:val="00275A90"/>
    <w:rsid w:val="0028094F"/>
    <w:rsid w:val="00283081"/>
    <w:rsid w:val="002842E8"/>
    <w:rsid w:val="00292EFF"/>
    <w:rsid w:val="002A364A"/>
    <w:rsid w:val="002A435C"/>
    <w:rsid w:val="002A5C19"/>
    <w:rsid w:val="002A68AF"/>
    <w:rsid w:val="002B44AC"/>
    <w:rsid w:val="002C3291"/>
    <w:rsid w:val="002C45FB"/>
    <w:rsid w:val="002D033F"/>
    <w:rsid w:val="002D2644"/>
    <w:rsid w:val="002D3774"/>
    <w:rsid w:val="002D3EF8"/>
    <w:rsid w:val="002D6A17"/>
    <w:rsid w:val="002E2484"/>
    <w:rsid w:val="002E60CC"/>
    <w:rsid w:val="002F5009"/>
    <w:rsid w:val="002F75D4"/>
    <w:rsid w:val="002F7F73"/>
    <w:rsid w:val="00312EF4"/>
    <w:rsid w:val="00321837"/>
    <w:rsid w:val="00350097"/>
    <w:rsid w:val="003505D6"/>
    <w:rsid w:val="0035171B"/>
    <w:rsid w:val="003531BD"/>
    <w:rsid w:val="003544A3"/>
    <w:rsid w:val="00362ACE"/>
    <w:rsid w:val="00372092"/>
    <w:rsid w:val="00373F8B"/>
    <w:rsid w:val="00376E10"/>
    <w:rsid w:val="003846BA"/>
    <w:rsid w:val="00384C7D"/>
    <w:rsid w:val="003872F9"/>
    <w:rsid w:val="003A6F45"/>
    <w:rsid w:val="003A70CA"/>
    <w:rsid w:val="003B0AB8"/>
    <w:rsid w:val="003C7D54"/>
    <w:rsid w:val="003C7F46"/>
    <w:rsid w:val="003D0CF9"/>
    <w:rsid w:val="003E17CC"/>
    <w:rsid w:val="003F2EEF"/>
    <w:rsid w:val="003F481B"/>
    <w:rsid w:val="00402F63"/>
    <w:rsid w:val="00413B9F"/>
    <w:rsid w:val="00423F9F"/>
    <w:rsid w:val="004248A0"/>
    <w:rsid w:val="00427D68"/>
    <w:rsid w:val="00430849"/>
    <w:rsid w:val="00435E60"/>
    <w:rsid w:val="00440042"/>
    <w:rsid w:val="004423BE"/>
    <w:rsid w:val="00450792"/>
    <w:rsid w:val="00460F25"/>
    <w:rsid w:val="00462D35"/>
    <w:rsid w:val="0047266F"/>
    <w:rsid w:val="00482AE3"/>
    <w:rsid w:val="00492490"/>
    <w:rsid w:val="004953C5"/>
    <w:rsid w:val="004A0931"/>
    <w:rsid w:val="004A3097"/>
    <w:rsid w:val="004A6D67"/>
    <w:rsid w:val="004B7A50"/>
    <w:rsid w:val="004C2F45"/>
    <w:rsid w:val="004C60BE"/>
    <w:rsid w:val="004D2A8E"/>
    <w:rsid w:val="004D6156"/>
    <w:rsid w:val="004D7275"/>
    <w:rsid w:val="004E2345"/>
    <w:rsid w:val="00501FCF"/>
    <w:rsid w:val="00513FFF"/>
    <w:rsid w:val="005174D6"/>
    <w:rsid w:val="0052000C"/>
    <w:rsid w:val="005213C4"/>
    <w:rsid w:val="00521A91"/>
    <w:rsid w:val="00534BC8"/>
    <w:rsid w:val="00540D92"/>
    <w:rsid w:val="00544D8B"/>
    <w:rsid w:val="00555AD8"/>
    <w:rsid w:val="00555E8C"/>
    <w:rsid w:val="00572DE3"/>
    <w:rsid w:val="00586DB8"/>
    <w:rsid w:val="005A4E64"/>
    <w:rsid w:val="005C4B5E"/>
    <w:rsid w:val="005D0A9E"/>
    <w:rsid w:val="005D20B9"/>
    <w:rsid w:val="005E0EAC"/>
    <w:rsid w:val="005E1F7E"/>
    <w:rsid w:val="005E2279"/>
    <w:rsid w:val="005E5F6D"/>
    <w:rsid w:val="005E6811"/>
    <w:rsid w:val="005E6D0D"/>
    <w:rsid w:val="005E77B1"/>
    <w:rsid w:val="00606D79"/>
    <w:rsid w:val="00611B57"/>
    <w:rsid w:val="00612B6F"/>
    <w:rsid w:val="006218AD"/>
    <w:rsid w:val="00632E39"/>
    <w:rsid w:val="00650BD6"/>
    <w:rsid w:val="00651C67"/>
    <w:rsid w:val="00652D4F"/>
    <w:rsid w:val="00653D89"/>
    <w:rsid w:val="0065677D"/>
    <w:rsid w:val="00666026"/>
    <w:rsid w:val="0067103A"/>
    <w:rsid w:val="00671581"/>
    <w:rsid w:val="00675EB6"/>
    <w:rsid w:val="00687667"/>
    <w:rsid w:val="006879E1"/>
    <w:rsid w:val="006914F9"/>
    <w:rsid w:val="006B0712"/>
    <w:rsid w:val="006B42D3"/>
    <w:rsid w:val="006C2EE9"/>
    <w:rsid w:val="006D51F0"/>
    <w:rsid w:val="006D6997"/>
    <w:rsid w:val="006E1644"/>
    <w:rsid w:val="006E7EF0"/>
    <w:rsid w:val="00702E33"/>
    <w:rsid w:val="00705717"/>
    <w:rsid w:val="007100AA"/>
    <w:rsid w:val="007115FA"/>
    <w:rsid w:val="00727028"/>
    <w:rsid w:val="00733AAA"/>
    <w:rsid w:val="00735946"/>
    <w:rsid w:val="0073601B"/>
    <w:rsid w:val="007410FE"/>
    <w:rsid w:val="00751608"/>
    <w:rsid w:val="00754DF2"/>
    <w:rsid w:val="007616DD"/>
    <w:rsid w:val="00761A86"/>
    <w:rsid w:val="00766B87"/>
    <w:rsid w:val="00770929"/>
    <w:rsid w:val="00770A19"/>
    <w:rsid w:val="007738CB"/>
    <w:rsid w:val="0077521F"/>
    <w:rsid w:val="007868EB"/>
    <w:rsid w:val="007878F1"/>
    <w:rsid w:val="00796AEB"/>
    <w:rsid w:val="007A3E24"/>
    <w:rsid w:val="007B401F"/>
    <w:rsid w:val="007B64DD"/>
    <w:rsid w:val="007D0A1D"/>
    <w:rsid w:val="007E147E"/>
    <w:rsid w:val="007E2E0C"/>
    <w:rsid w:val="007E584F"/>
    <w:rsid w:val="007E6697"/>
    <w:rsid w:val="007F0EFB"/>
    <w:rsid w:val="00803BE4"/>
    <w:rsid w:val="008042D3"/>
    <w:rsid w:val="00812D23"/>
    <w:rsid w:val="00827B47"/>
    <w:rsid w:val="0083095C"/>
    <w:rsid w:val="0083483C"/>
    <w:rsid w:val="0086226B"/>
    <w:rsid w:val="00862BAF"/>
    <w:rsid w:val="008646A8"/>
    <w:rsid w:val="00871281"/>
    <w:rsid w:val="00874091"/>
    <w:rsid w:val="00890449"/>
    <w:rsid w:val="00891BE5"/>
    <w:rsid w:val="00894765"/>
    <w:rsid w:val="00894BAF"/>
    <w:rsid w:val="008A1640"/>
    <w:rsid w:val="008A1D03"/>
    <w:rsid w:val="008A497E"/>
    <w:rsid w:val="008A7B83"/>
    <w:rsid w:val="008B460F"/>
    <w:rsid w:val="008D0559"/>
    <w:rsid w:val="008D31A8"/>
    <w:rsid w:val="008D5346"/>
    <w:rsid w:val="008D7479"/>
    <w:rsid w:val="008E46AD"/>
    <w:rsid w:val="008F1427"/>
    <w:rsid w:val="009024AF"/>
    <w:rsid w:val="0090487C"/>
    <w:rsid w:val="0091196F"/>
    <w:rsid w:val="00911EF0"/>
    <w:rsid w:val="00920700"/>
    <w:rsid w:val="00920E15"/>
    <w:rsid w:val="00922297"/>
    <w:rsid w:val="00927AA5"/>
    <w:rsid w:val="00945635"/>
    <w:rsid w:val="009558C7"/>
    <w:rsid w:val="00971D1E"/>
    <w:rsid w:val="009737FE"/>
    <w:rsid w:val="00987DB9"/>
    <w:rsid w:val="009B4865"/>
    <w:rsid w:val="009C57B7"/>
    <w:rsid w:val="009C682D"/>
    <w:rsid w:val="009D091C"/>
    <w:rsid w:val="009D5C2E"/>
    <w:rsid w:val="009E373F"/>
    <w:rsid w:val="009F1A3F"/>
    <w:rsid w:val="00A12BDF"/>
    <w:rsid w:val="00A13946"/>
    <w:rsid w:val="00A14072"/>
    <w:rsid w:val="00A21608"/>
    <w:rsid w:val="00A307E9"/>
    <w:rsid w:val="00A30825"/>
    <w:rsid w:val="00A366A8"/>
    <w:rsid w:val="00A4326B"/>
    <w:rsid w:val="00A44BDD"/>
    <w:rsid w:val="00A44EB2"/>
    <w:rsid w:val="00A4736A"/>
    <w:rsid w:val="00A56ACD"/>
    <w:rsid w:val="00A73987"/>
    <w:rsid w:val="00A7777A"/>
    <w:rsid w:val="00A95195"/>
    <w:rsid w:val="00A95CCA"/>
    <w:rsid w:val="00A96509"/>
    <w:rsid w:val="00AA15D2"/>
    <w:rsid w:val="00AD474A"/>
    <w:rsid w:val="00AE3070"/>
    <w:rsid w:val="00AF1D0B"/>
    <w:rsid w:val="00AF658C"/>
    <w:rsid w:val="00B07AB3"/>
    <w:rsid w:val="00B23604"/>
    <w:rsid w:val="00B2422E"/>
    <w:rsid w:val="00B24BA5"/>
    <w:rsid w:val="00B439F5"/>
    <w:rsid w:val="00B45244"/>
    <w:rsid w:val="00B56C2F"/>
    <w:rsid w:val="00B57F8D"/>
    <w:rsid w:val="00B70286"/>
    <w:rsid w:val="00B93DCC"/>
    <w:rsid w:val="00B9666D"/>
    <w:rsid w:val="00B970EB"/>
    <w:rsid w:val="00BA2A2D"/>
    <w:rsid w:val="00BB12F1"/>
    <w:rsid w:val="00BD3B2F"/>
    <w:rsid w:val="00BE332E"/>
    <w:rsid w:val="00BF446E"/>
    <w:rsid w:val="00C10771"/>
    <w:rsid w:val="00C119BA"/>
    <w:rsid w:val="00C2043B"/>
    <w:rsid w:val="00C222DE"/>
    <w:rsid w:val="00C3231E"/>
    <w:rsid w:val="00C324BE"/>
    <w:rsid w:val="00C34209"/>
    <w:rsid w:val="00C438D2"/>
    <w:rsid w:val="00C46247"/>
    <w:rsid w:val="00C472AF"/>
    <w:rsid w:val="00C96E23"/>
    <w:rsid w:val="00C97E56"/>
    <w:rsid w:val="00CA2C19"/>
    <w:rsid w:val="00CA5F1F"/>
    <w:rsid w:val="00CB0567"/>
    <w:rsid w:val="00CB22BF"/>
    <w:rsid w:val="00CC029D"/>
    <w:rsid w:val="00CC0D04"/>
    <w:rsid w:val="00CC2718"/>
    <w:rsid w:val="00CC67E1"/>
    <w:rsid w:val="00CD04C9"/>
    <w:rsid w:val="00CD38D4"/>
    <w:rsid w:val="00CD7359"/>
    <w:rsid w:val="00CF5340"/>
    <w:rsid w:val="00D00F95"/>
    <w:rsid w:val="00D06F58"/>
    <w:rsid w:val="00D11B6F"/>
    <w:rsid w:val="00D15369"/>
    <w:rsid w:val="00D20455"/>
    <w:rsid w:val="00D23888"/>
    <w:rsid w:val="00D32861"/>
    <w:rsid w:val="00D328C5"/>
    <w:rsid w:val="00D32915"/>
    <w:rsid w:val="00D350C0"/>
    <w:rsid w:val="00D4604F"/>
    <w:rsid w:val="00D664D1"/>
    <w:rsid w:val="00D70CD2"/>
    <w:rsid w:val="00D815D0"/>
    <w:rsid w:val="00DA6577"/>
    <w:rsid w:val="00DA776C"/>
    <w:rsid w:val="00DA7F70"/>
    <w:rsid w:val="00DC738F"/>
    <w:rsid w:val="00DC768C"/>
    <w:rsid w:val="00DD53F1"/>
    <w:rsid w:val="00DE124D"/>
    <w:rsid w:val="00DE23A5"/>
    <w:rsid w:val="00DE47D9"/>
    <w:rsid w:val="00DE7B01"/>
    <w:rsid w:val="00E20248"/>
    <w:rsid w:val="00E21510"/>
    <w:rsid w:val="00E30836"/>
    <w:rsid w:val="00E34325"/>
    <w:rsid w:val="00E3727C"/>
    <w:rsid w:val="00E47856"/>
    <w:rsid w:val="00E57F37"/>
    <w:rsid w:val="00E7107F"/>
    <w:rsid w:val="00E752C6"/>
    <w:rsid w:val="00E8201F"/>
    <w:rsid w:val="00E8202D"/>
    <w:rsid w:val="00E8339B"/>
    <w:rsid w:val="00E83FC4"/>
    <w:rsid w:val="00E850CB"/>
    <w:rsid w:val="00E8717E"/>
    <w:rsid w:val="00EB5427"/>
    <w:rsid w:val="00EB7528"/>
    <w:rsid w:val="00EB7C0C"/>
    <w:rsid w:val="00EC0AC0"/>
    <w:rsid w:val="00EE4695"/>
    <w:rsid w:val="00EF1CFC"/>
    <w:rsid w:val="00EF36FC"/>
    <w:rsid w:val="00EF707C"/>
    <w:rsid w:val="00EF7DE2"/>
    <w:rsid w:val="00F02740"/>
    <w:rsid w:val="00F21B8A"/>
    <w:rsid w:val="00F3044B"/>
    <w:rsid w:val="00F44773"/>
    <w:rsid w:val="00F556D6"/>
    <w:rsid w:val="00F62766"/>
    <w:rsid w:val="00F6503F"/>
    <w:rsid w:val="00F676DE"/>
    <w:rsid w:val="00F71F3F"/>
    <w:rsid w:val="00F7292C"/>
    <w:rsid w:val="00F7578E"/>
    <w:rsid w:val="00F9031E"/>
    <w:rsid w:val="00F93017"/>
    <w:rsid w:val="00FA337D"/>
    <w:rsid w:val="00FA64B8"/>
    <w:rsid w:val="00FD7C63"/>
    <w:rsid w:val="00FE1672"/>
    <w:rsid w:val="00FE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938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E8C"/>
  </w:style>
  <w:style w:type="paragraph" w:styleId="Heading1">
    <w:name w:val="heading 1"/>
    <w:basedOn w:val="Normal"/>
    <w:next w:val="Normal"/>
    <w:link w:val="Heading1Char"/>
    <w:uiPriority w:val="9"/>
    <w:qFormat/>
    <w:rsid w:val="00A216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16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4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5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64D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095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16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216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4A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FD7C63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E584F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E584F"/>
    <w:pPr>
      <w:spacing w:before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7E584F"/>
    <w:pPr>
      <w:ind w:left="24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7E584F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E584F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E584F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E584F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E584F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E584F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E584F"/>
    <w:pPr>
      <w:ind w:left="1920"/>
    </w:pPr>
    <w:rPr>
      <w:sz w:val="20"/>
      <w:szCs w:val="20"/>
    </w:rPr>
  </w:style>
  <w:style w:type="table" w:styleId="TableGrid">
    <w:name w:val="Table Grid"/>
    <w:basedOn w:val="TableNormal"/>
    <w:uiPriority w:val="39"/>
    <w:rsid w:val="00006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27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740"/>
  </w:style>
  <w:style w:type="paragraph" w:styleId="Footer">
    <w:name w:val="footer"/>
    <w:basedOn w:val="Normal"/>
    <w:link w:val="FooterChar"/>
    <w:uiPriority w:val="99"/>
    <w:unhideWhenUsed/>
    <w:rsid w:val="00F027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740"/>
  </w:style>
  <w:style w:type="character" w:styleId="Emphasis">
    <w:name w:val="Emphasis"/>
    <w:basedOn w:val="DefaultParagraphFont"/>
    <w:uiPriority w:val="20"/>
    <w:qFormat/>
    <w:rsid w:val="000D66CC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5D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trong">
    <w:name w:val="Strong"/>
    <w:basedOn w:val="DefaultParagraphFont"/>
    <w:uiPriority w:val="22"/>
    <w:qFormat/>
    <w:rsid w:val="006E7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72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0153438-89B4-4AF9-98C6-9566C700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Shukie Ganguly</cp:lastModifiedBy>
  <cp:revision>6</cp:revision>
  <dcterms:created xsi:type="dcterms:W3CDTF">2020-06-29T14:50:00Z</dcterms:created>
  <dcterms:modified xsi:type="dcterms:W3CDTF">2020-06-29T14:53:00Z</dcterms:modified>
</cp:coreProperties>
</file>